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3A00E8B" w14:textId="60473EEC" w:rsidR="000A231D" w:rsidRPr="00CF2272" w:rsidRDefault="000A231D" w:rsidP="007B5399">
      <w:pPr>
        <w:spacing w:line="360" w:lineRule="auto"/>
        <w:rPr>
          <w:rFonts w:cstheme="minorHAnsi"/>
          <w:sz w:val="28"/>
          <w:szCs w:val="28"/>
        </w:rPr>
      </w:pPr>
      <w:r w:rsidRPr="00CF2272">
        <w:rPr>
          <w:rFonts w:cstheme="minorHAnsi"/>
          <w:b/>
          <w:bCs/>
          <w:sz w:val="28"/>
          <w:szCs w:val="28"/>
        </w:rPr>
        <w:t>Slide One: General Intro</w:t>
      </w:r>
    </w:p>
    <w:p w14:paraId="48238886" w14:textId="3C6DFB75" w:rsidR="00A64477" w:rsidRPr="00CF2272" w:rsidRDefault="002023EA" w:rsidP="007B5399">
      <w:pPr>
        <w:spacing w:line="360" w:lineRule="auto"/>
        <w:rPr>
          <w:rFonts w:cstheme="minorHAnsi"/>
          <w:sz w:val="28"/>
          <w:szCs w:val="28"/>
        </w:rPr>
      </w:pPr>
      <w:r w:rsidRPr="00CF2272">
        <w:rPr>
          <w:rFonts w:cstheme="minorHAnsi"/>
          <w:sz w:val="28"/>
          <w:szCs w:val="28"/>
        </w:rPr>
        <w:t xml:space="preserve">Tansi, </w:t>
      </w:r>
      <w:r w:rsidR="00A64477" w:rsidRPr="00CF2272">
        <w:rPr>
          <w:rFonts w:cstheme="minorHAnsi"/>
          <w:sz w:val="28"/>
          <w:szCs w:val="28"/>
        </w:rPr>
        <w:t xml:space="preserve">… </w:t>
      </w:r>
      <w:proofErr w:type="gramStart"/>
      <w:r w:rsidRPr="00CF2272">
        <w:rPr>
          <w:rFonts w:cstheme="minorHAnsi"/>
          <w:sz w:val="28"/>
          <w:szCs w:val="28"/>
        </w:rPr>
        <w:t>bonjour,</w:t>
      </w:r>
      <w:r w:rsidR="00A64477" w:rsidRPr="00CF2272">
        <w:rPr>
          <w:rFonts w:cstheme="minorHAnsi"/>
          <w:sz w:val="28"/>
          <w:szCs w:val="28"/>
        </w:rPr>
        <w:t>…</w:t>
      </w:r>
      <w:proofErr w:type="gramEnd"/>
      <w:r w:rsidR="00A64477" w:rsidRPr="00CF2272">
        <w:rPr>
          <w:rFonts w:cstheme="minorHAnsi"/>
          <w:sz w:val="28"/>
          <w:szCs w:val="28"/>
        </w:rPr>
        <w:t xml:space="preserve"> </w:t>
      </w:r>
      <w:r w:rsidRPr="00CF2272">
        <w:rPr>
          <w:rFonts w:cstheme="minorHAnsi"/>
          <w:sz w:val="28"/>
          <w:szCs w:val="28"/>
        </w:rPr>
        <w:t>hello…</w:t>
      </w:r>
      <w:r w:rsidR="00DB76A3" w:rsidRPr="00CF2272">
        <w:rPr>
          <w:rFonts w:cstheme="minorHAnsi"/>
          <w:sz w:val="28"/>
          <w:szCs w:val="28"/>
        </w:rPr>
        <w:t xml:space="preserve">  I wish to thank the organizers of the conference</w:t>
      </w:r>
      <w:r w:rsidR="00D303C8" w:rsidRPr="00CF2272">
        <w:rPr>
          <w:rFonts w:cstheme="minorHAnsi"/>
          <w:sz w:val="28"/>
          <w:szCs w:val="28"/>
        </w:rPr>
        <w:t xml:space="preserve"> and the Danish Institut</w:t>
      </w:r>
      <w:r w:rsidR="000F1918" w:rsidRPr="00CF2272">
        <w:rPr>
          <w:rFonts w:cstheme="minorHAnsi"/>
          <w:sz w:val="28"/>
          <w:szCs w:val="28"/>
        </w:rPr>
        <w:t>e</w:t>
      </w:r>
      <w:r w:rsidR="00D303C8" w:rsidRPr="00CF2272">
        <w:rPr>
          <w:rFonts w:cstheme="minorHAnsi"/>
          <w:sz w:val="28"/>
          <w:szCs w:val="28"/>
        </w:rPr>
        <w:t xml:space="preserve"> for </w:t>
      </w:r>
      <w:r w:rsidR="00EF76DA" w:rsidRPr="00CF2272">
        <w:rPr>
          <w:rFonts w:cstheme="minorHAnsi"/>
          <w:sz w:val="28"/>
          <w:szCs w:val="28"/>
        </w:rPr>
        <w:t>International Studies</w:t>
      </w:r>
      <w:r w:rsidR="00DB76A3" w:rsidRPr="00CF2272">
        <w:rPr>
          <w:rFonts w:cstheme="minorHAnsi"/>
          <w:sz w:val="28"/>
          <w:szCs w:val="28"/>
        </w:rPr>
        <w:t xml:space="preserve"> for </w:t>
      </w:r>
      <w:r w:rsidR="008816B0" w:rsidRPr="00CF2272">
        <w:rPr>
          <w:rFonts w:cstheme="minorHAnsi"/>
          <w:sz w:val="28"/>
          <w:szCs w:val="28"/>
        </w:rPr>
        <w:t xml:space="preserve">kindly </w:t>
      </w:r>
      <w:r w:rsidR="00BF0B32" w:rsidRPr="00CF2272">
        <w:rPr>
          <w:rFonts w:cstheme="minorHAnsi"/>
          <w:sz w:val="28"/>
          <w:szCs w:val="28"/>
        </w:rPr>
        <w:t xml:space="preserve">offering me an invitation to speak. This is my first visit Denmark or any Nordic </w:t>
      </w:r>
      <w:r w:rsidR="006103BA" w:rsidRPr="00CF2272">
        <w:rPr>
          <w:rFonts w:cstheme="minorHAnsi"/>
          <w:sz w:val="28"/>
          <w:szCs w:val="28"/>
        </w:rPr>
        <w:t xml:space="preserve">European </w:t>
      </w:r>
      <w:r w:rsidR="00BF0B32" w:rsidRPr="00CF2272">
        <w:rPr>
          <w:rFonts w:cstheme="minorHAnsi"/>
          <w:sz w:val="28"/>
          <w:szCs w:val="28"/>
        </w:rPr>
        <w:t xml:space="preserve">country, I look forward to an engaging </w:t>
      </w:r>
      <w:r w:rsidR="00A64477" w:rsidRPr="00CF2272">
        <w:rPr>
          <w:rFonts w:cstheme="minorHAnsi"/>
          <w:sz w:val="28"/>
          <w:szCs w:val="28"/>
        </w:rPr>
        <w:t xml:space="preserve">conference and possibly visiting some </w:t>
      </w:r>
      <w:r w:rsidR="00D73F19" w:rsidRPr="00CF2272">
        <w:rPr>
          <w:rFonts w:cstheme="minorHAnsi"/>
          <w:sz w:val="28"/>
          <w:szCs w:val="28"/>
        </w:rPr>
        <w:t>of the local cultural sites.</w:t>
      </w:r>
      <w:r w:rsidR="00A64477" w:rsidRPr="00CF2272">
        <w:rPr>
          <w:rFonts w:cstheme="minorHAnsi"/>
          <w:sz w:val="28"/>
          <w:szCs w:val="28"/>
        </w:rPr>
        <w:t xml:space="preserve"> </w:t>
      </w:r>
    </w:p>
    <w:p w14:paraId="35EB9D1E" w14:textId="40437A65" w:rsidR="004C31EB" w:rsidRPr="00CF2272" w:rsidRDefault="002023EA" w:rsidP="007B5399">
      <w:pPr>
        <w:spacing w:line="360" w:lineRule="auto"/>
        <w:rPr>
          <w:rFonts w:cstheme="minorHAnsi"/>
          <w:sz w:val="28"/>
          <w:szCs w:val="28"/>
        </w:rPr>
      </w:pPr>
      <w:r w:rsidRPr="00CF2272">
        <w:rPr>
          <w:rFonts w:cstheme="minorHAnsi"/>
          <w:sz w:val="28"/>
          <w:szCs w:val="28"/>
        </w:rPr>
        <w:t>The National Centre for Truth and Reconciliation</w:t>
      </w:r>
      <w:r w:rsidR="00C42B75" w:rsidRPr="00CF2272">
        <w:rPr>
          <w:rFonts w:cstheme="minorHAnsi"/>
          <w:sz w:val="28"/>
          <w:szCs w:val="28"/>
        </w:rPr>
        <w:t xml:space="preserve"> (N</w:t>
      </w:r>
      <w:r w:rsidR="008C75C6" w:rsidRPr="00CF2272">
        <w:rPr>
          <w:rFonts w:cstheme="minorHAnsi"/>
          <w:sz w:val="28"/>
          <w:szCs w:val="28"/>
        </w:rPr>
        <w:t>C</w:t>
      </w:r>
      <w:r w:rsidR="00C42B75" w:rsidRPr="00CF2272">
        <w:rPr>
          <w:rFonts w:cstheme="minorHAnsi"/>
          <w:sz w:val="28"/>
          <w:szCs w:val="28"/>
        </w:rPr>
        <w:t>TR)</w:t>
      </w:r>
      <w:r w:rsidRPr="00CF2272">
        <w:rPr>
          <w:rFonts w:cstheme="minorHAnsi"/>
          <w:sz w:val="28"/>
          <w:szCs w:val="28"/>
        </w:rPr>
        <w:t xml:space="preserve"> </w:t>
      </w:r>
      <w:proofErr w:type="gramStart"/>
      <w:r w:rsidRPr="00CF2272">
        <w:rPr>
          <w:rFonts w:cstheme="minorHAnsi"/>
          <w:sz w:val="28"/>
          <w:szCs w:val="28"/>
        </w:rPr>
        <w:t>is located</w:t>
      </w:r>
      <w:r w:rsidR="0004057C" w:rsidRPr="00CF2272">
        <w:rPr>
          <w:rFonts w:cstheme="minorHAnsi"/>
          <w:sz w:val="28"/>
          <w:szCs w:val="28"/>
        </w:rPr>
        <w:t xml:space="preserve"> in</w:t>
      </w:r>
      <w:proofErr w:type="gramEnd"/>
      <w:r w:rsidR="0004057C" w:rsidRPr="00CF2272">
        <w:rPr>
          <w:rFonts w:cstheme="minorHAnsi"/>
          <w:sz w:val="28"/>
          <w:szCs w:val="28"/>
        </w:rPr>
        <w:t xml:space="preserve"> </w:t>
      </w:r>
      <w:r w:rsidR="003B720E" w:rsidRPr="00CF2272">
        <w:rPr>
          <w:rFonts w:cstheme="minorHAnsi"/>
          <w:sz w:val="28"/>
          <w:szCs w:val="28"/>
        </w:rPr>
        <w:t>Canada</w:t>
      </w:r>
      <w:r w:rsidRPr="00CF2272">
        <w:rPr>
          <w:rFonts w:cstheme="minorHAnsi"/>
          <w:sz w:val="28"/>
          <w:szCs w:val="28"/>
        </w:rPr>
        <w:t xml:space="preserve"> on </w:t>
      </w:r>
      <w:r w:rsidR="004C31EB" w:rsidRPr="00CF2272">
        <w:rPr>
          <w:rFonts w:cstheme="minorHAnsi"/>
          <w:sz w:val="28"/>
          <w:szCs w:val="28"/>
        </w:rPr>
        <w:t>Treaty One Territory</w:t>
      </w:r>
      <w:r w:rsidR="006D1594" w:rsidRPr="00CF2272">
        <w:rPr>
          <w:rFonts w:cstheme="minorHAnsi"/>
          <w:sz w:val="28"/>
          <w:szCs w:val="28"/>
        </w:rPr>
        <w:t xml:space="preserve"> </w:t>
      </w:r>
      <w:r w:rsidR="00BA7FF9" w:rsidRPr="00CF2272">
        <w:rPr>
          <w:rFonts w:cstheme="minorHAnsi"/>
          <w:sz w:val="28"/>
          <w:szCs w:val="28"/>
        </w:rPr>
        <w:t>the</w:t>
      </w:r>
      <w:r w:rsidR="00090405" w:rsidRPr="00CF2272">
        <w:rPr>
          <w:rFonts w:cstheme="minorHAnsi"/>
          <w:sz w:val="28"/>
          <w:szCs w:val="28"/>
        </w:rPr>
        <w:t>se are the</w:t>
      </w:r>
      <w:r w:rsidR="004C31EB" w:rsidRPr="00CF2272">
        <w:rPr>
          <w:rFonts w:cstheme="minorHAnsi"/>
          <w:sz w:val="28"/>
          <w:szCs w:val="28"/>
        </w:rPr>
        <w:t xml:space="preserve"> ancestral lands of the Anishinaabeg, </w:t>
      </w:r>
      <w:proofErr w:type="spellStart"/>
      <w:r w:rsidR="004C31EB" w:rsidRPr="00CF2272">
        <w:rPr>
          <w:rFonts w:cstheme="minorHAnsi"/>
          <w:sz w:val="28"/>
          <w:szCs w:val="28"/>
        </w:rPr>
        <w:t>Anishininewuk</w:t>
      </w:r>
      <w:proofErr w:type="spellEnd"/>
      <w:r w:rsidR="004C31EB" w:rsidRPr="00CF2272">
        <w:rPr>
          <w:rFonts w:cstheme="minorHAnsi"/>
          <w:sz w:val="28"/>
          <w:szCs w:val="28"/>
        </w:rPr>
        <w:t xml:space="preserve">, Dakota Oyate, Denesuline and </w:t>
      </w:r>
      <w:proofErr w:type="spellStart"/>
      <w:r w:rsidR="004C31EB" w:rsidRPr="00CF2272">
        <w:rPr>
          <w:rFonts w:cstheme="minorHAnsi"/>
          <w:sz w:val="28"/>
          <w:szCs w:val="28"/>
        </w:rPr>
        <w:t>Nehethowuk</w:t>
      </w:r>
      <w:proofErr w:type="spellEnd"/>
      <w:r w:rsidR="004C31EB" w:rsidRPr="00CF2272">
        <w:rPr>
          <w:rFonts w:cstheme="minorHAnsi"/>
          <w:sz w:val="28"/>
          <w:szCs w:val="28"/>
        </w:rPr>
        <w:t xml:space="preserve"> Nations.</w:t>
      </w:r>
      <w:r w:rsidR="008C4992" w:rsidRPr="00CF2272">
        <w:rPr>
          <w:rFonts w:cstheme="minorHAnsi"/>
          <w:sz w:val="28"/>
          <w:szCs w:val="28"/>
        </w:rPr>
        <w:t xml:space="preserve"> </w:t>
      </w:r>
      <w:r w:rsidR="004C31EB" w:rsidRPr="00CF2272">
        <w:rPr>
          <w:rFonts w:cstheme="minorHAnsi"/>
          <w:sz w:val="28"/>
          <w:szCs w:val="28"/>
        </w:rPr>
        <w:t xml:space="preserve"> </w:t>
      </w:r>
      <w:r w:rsidR="00090405" w:rsidRPr="00CF2272">
        <w:rPr>
          <w:rFonts w:cstheme="minorHAnsi"/>
          <w:sz w:val="28"/>
          <w:szCs w:val="28"/>
        </w:rPr>
        <w:t>This is also</w:t>
      </w:r>
      <w:r w:rsidR="004C31EB" w:rsidRPr="00CF2272">
        <w:rPr>
          <w:rFonts w:cstheme="minorHAnsi"/>
          <w:sz w:val="28"/>
          <w:szCs w:val="28"/>
        </w:rPr>
        <w:t xml:space="preserve"> the Homeland of the Red River </w:t>
      </w:r>
      <w:proofErr w:type="gramStart"/>
      <w:r w:rsidR="004C31EB" w:rsidRPr="00CF2272">
        <w:rPr>
          <w:rFonts w:cstheme="minorHAnsi"/>
          <w:sz w:val="28"/>
          <w:szCs w:val="28"/>
        </w:rPr>
        <w:t>Métis</w:t>
      </w:r>
      <w:proofErr w:type="gramEnd"/>
      <w:r w:rsidR="00F20E85" w:rsidRPr="00CF2272">
        <w:rPr>
          <w:rFonts w:cstheme="minorHAnsi"/>
          <w:sz w:val="28"/>
          <w:szCs w:val="28"/>
        </w:rPr>
        <w:t xml:space="preserve"> and</w:t>
      </w:r>
      <w:r w:rsidR="004C31EB" w:rsidRPr="00CF2272">
        <w:rPr>
          <w:rFonts w:cstheme="minorHAnsi"/>
          <w:sz w:val="28"/>
          <w:szCs w:val="28"/>
        </w:rPr>
        <w:t xml:space="preserve"> </w:t>
      </w:r>
      <w:r w:rsidR="0086089D" w:rsidRPr="00CF2272">
        <w:rPr>
          <w:rFonts w:cstheme="minorHAnsi"/>
          <w:sz w:val="28"/>
          <w:szCs w:val="28"/>
        </w:rPr>
        <w:t xml:space="preserve">the </w:t>
      </w:r>
      <w:r w:rsidR="00B02ABC" w:rsidRPr="00CF2272">
        <w:rPr>
          <w:rFonts w:cstheme="minorHAnsi"/>
          <w:sz w:val="28"/>
          <w:szCs w:val="28"/>
        </w:rPr>
        <w:t xml:space="preserve">province of </w:t>
      </w:r>
      <w:r w:rsidR="004C31EB" w:rsidRPr="00CF2272">
        <w:rPr>
          <w:rFonts w:cstheme="minorHAnsi"/>
          <w:sz w:val="28"/>
          <w:szCs w:val="28"/>
        </w:rPr>
        <w:t xml:space="preserve">northern Manitoba </w:t>
      </w:r>
      <w:r w:rsidR="00FF34ED" w:rsidRPr="00CF2272">
        <w:rPr>
          <w:rFonts w:cstheme="minorHAnsi"/>
          <w:sz w:val="28"/>
          <w:szCs w:val="28"/>
        </w:rPr>
        <w:t xml:space="preserve">also </w:t>
      </w:r>
      <w:r w:rsidR="004C31EB" w:rsidRPr="00CF2272">
        <w:rPr>
          <w:rFonts w:cstheme="minorHAnsi"/>
          <w:sz w:val="28"/>
          <w:szCs w:val="28"/>
        </w:rPr>
        <w:t>includes the ancestral lands of the Inuit.</w:t>
      </w:r>
      <w:r w:rsidR="00C42B75" w:rsidRPr="00CF2272">
        <w:rPr>
          <w:rFonts w:cstheme="minorHAnsi"/>
          <w:sz w:val="28"/>
          <w:szCs w:val="28"/>
        </w:rPr>
        <w:t xml:space="preserve"> The NCTR</w:t>
      </w:r>
      <w:r w:rsidR="004C31EB" w:rsidRPr="00CF2272">
        <w:rPr>
          <w:rFonts w:cstheme="minorHAnsi"/>
          <w:sz w:val="28"/>
          <w:szCs w:val="28"/>
        </w:rPr>
        <w:t xml:space="preserve"> respect</w:t>
      </w:r>
      <w:r w:rsidR="00C42B75" w:rsidRPr="00CF2272">
        <w:rPr>
          <w:rFonts w:cstheme="minorHAnsi"/>
          <w:sz w:val="28"/>
          <w:szCs w:val="28"/>
        </w:rPr>
        <w:t>s</w:t>
      </w:r>
      <w:r w:rsidR="004C31EB" w:rsidRPr="00CF2272">
        <w:rPr>
          <w:rFonts w:cstheme="minorHAnsi"/>
          <w:sz w:val="28"/>
          <w:szCs w:val="28"/>
        </w:rPr>
        <w:t xml:space="preserve"> the spirit and intent </w:t>
      </w:r>
      <w:r w:rsidR="009A7009" w:rsidRPr="00CF2272">
        <w:rPr>
          <w:rFonts w:cstheme="minorHAnsi"/>
          <w:sz w:val="28"/>
          <w:szCs w:val="28"/>
        </w:rPr>
        <w:t xml:space="preserve">of </w:t>
      </w:r>
      <w:r w:rsidR="004C31EB" w:rsidRPr="00CF2272">
        <w:rPr>
          <w:rFonts w:cstheme="minorHAnsi"/>
          <w:sz w:val="28"/>
          <w:szCs w:val="28"/>
        </w:rPr>
        <w:t>Treaty Making and remain</w:t>
      </w:r>
      <w:r w:rsidR="00970C53" w:rsidRPr="00CF2272">
        <w:rPr>
          <w:rFonts w:cstheme="minorHAnsi"/>
          <w:sz w:val="28"/>
          <w:szCs w:val="28"/>
        </w:rPr>
        <w:t>s</w:t>
      </w:r>
      <w:r w:rsidR="004C31EB" w:rsidRPr="00CF2272">
        <w:rPr>
          <w:rFonts w:cstheme="minorHAnsi"/>
          <w:sz w:val="28"/>
          <w:szCs w:val="28"/>
        </w:rPr>
        <w:t xml:space="preserve"> committed to working in partnership with First Nations, Inuit and Métis people in the spirit of truth, reconciliation and collaboration.</w:t>
      </w:r>
    </w:p>
    <w:p w14:paraId="1AB6B1D7" w14:textId="092088E2" w:rsidR="000A231D" w:rsidRPr="00CF2272" w:rsidRDefault="000A231D" w:rsidP="007B5399">
      <w:pPr>
        <w:spacing w:line="360" w:lineRule="auto"/>
        <w:rPr>
          <w:rFonts w:cstheme="minorHAnsi"/>
          <w:b/>
          <w:bCs/>
          <w:sz w:val="28"/>
          <w:szCs w:val="28"/>
          <w:u w:val="single"/>
        </w:rPr>
      </w:pPr>
      <w:r w:rsidRPr="00CF2272">
        <w:rPr>
          <w:rFonts w:cstheme="minorHAnsi"/>
          <w:b/>
          <w:bCs/>
          <w:sz w:val="28"/>
          <w:szCs w:val="28"/>
          <w:u w:val="single"/>
        </w:rPr>
        <w:t xml:space="preserve">Slide </w:t>
      </w:r>
      <w:r w:rsidR="00FF0B37" w:rsidRPr="00CF2272">
        <w:rPr>
          <w:rFonts w:cstheme="minorHAnsi"/>
          <w:b/>
          <w:bCs/>
          <w:sz w:val="28"/>
          <w:szCs w:val="28"/>
          <w:u w:val="single"/>
        </w:rPr>
        <w:t>Slid one</w:t>
      </w:r>
      <w:r w:rsidR="00C727EA" w:rsidRPr="00CF2272">
        <w:rPr>
          <w:rFonts w:cstheme="minorHAnsi"/>
          <w:b/>
          <w:bCs/>
          <w:sz w:val="28"/>
          <w:szCs w:val="28"/>
          <w:u w:val="single"/>
        </w:rPr>
        <w:t xml:space="preserve">: </w:t>
      </w:r>
      <w:r w:rsidR="00EB7B88" w:rsidRPr="00CF2272">
        <w:rPr>
          <w:rFonts w:cstheme="minorHAnsi"/>
          <w:b/>
          <w:bCs/>
          <w:sz w:val="28"/>
          <w:szCs w:val="28"/>
          <w:u w:val="single"/>
        </w:rPr>
        <w:t>Overview of Talk</w:t>
      </w:r>
    </w:p>
    <w:p w14:paraId="4340482F" w14:textId="46F60982" w:rsidR="007B5399" w:rsidRPr="00CF2272" w:rsidRDefault="007B5399" w:rsidP="007B5399">
      <w:pPr>
        <w:spacing w:line="360" w:lineRule="auto"/>
        <w:rPr>
          <w:rFonts w:cstheme="minorHAnsi"/>
          <w:sz w:val="28"/>
          <w:szCs w:val="28"/>
        </w:rPr>
      </w:pPr>
      <w:r w:rsidRPr="00CF2272">
        <w:rPr>
          <w:rFonts w:cstheme="minorHAnsi"/>
          <w:sz w:val="28"/>
          <w:szCs w:val="28"/>
        </w:rPr>
        <w:t xml:space="preserve">In a speech delivered to the NCTR in 2022, Honorable Murray Sinclair, </w:t>
      </w:r>
      <w:r w:rsidR="00A37C11" w:rsidRPr="00CF2272">
        <w:rPr>
          <w:rFonts w:cstheme="minorHAnsi"/>
          <w:sz w:val="28"/>
          <w:szCs w:val="28"/>
        </w:rPr>
        <w:t xml:space="preserve">a </w:t>
      </w:r>
      <w:r w:rsidR="004A3106" w:rsidRPr="00CF2272">
        <w:rPr>
          <w:rFonts w:cstheme="minorHAnsi"/>
          <w:sz w:val="28"/>
          <w:szCs w:val="28"/>
        </w:rPr>
        <w:t xml:space="preserve">former Commissioner of the Truth and Reconciliation Commission of Canada, </w:t>
      </w:r>
      <w:r w:rsidRPr="00CF2272">
        <w:rPr>
          <w:rFonts w:cstheme="minorHAnsi"/>
          <w:sz w:val="28"/>
          <w:szCs w:val="28"/>
        </w:rPr>
        <w:t>recalled his legal studies at the University of Manitoba.</w:t>
      </w:r>
      <w:r w:rsidRPr="00CF2272">
        <w:rPr>
          <w:rStyle w:val="FootnoteReference"/>
          <w:rFonts w:cstheme="minorHAnsi"/>
          <w:sz w:val="28"/>
          <w:szCs w:val="28"/>
        </w:rPr>
        <w:footnoteReference w:id="2"/>
      </w:r>
      <w:r w:rsidRPr="00CF2272">
        <w:rPr>
          <w:rFonts w:cstheme="minorHAnsi"/>
          <w:sz w:val="28"/>
          <w:szCs w:val="28"/>
        </w:rPr>
        <w:t xml:space="preserve"> As a young Indigenous law student with an interest in Indigenous laws and cultures, he described a meeting with a </w:t>
      </w:r>
      <w:r w:rsidRPr="00CF2272">
        <w:rPr>
          <w:rFonts w:cstheme="minorHAnsi"/>
          <w:sz w:val="28"/>
          <w:szCs w:val="28"/>
        </w:rPr>
        <w:lastRenderedPageBreak/>
        <w:t>group of local Elders and Knowledge Keepers to discuss community laws and cultural practices. To attend the meeting, he was taken on a journey in the back of a pickup truck along winding unpaved roads deep into the bush. When he asked why they were meeting in the backwoods, he was told it was because some of the traditional laws and cultural practices they would perform and discuss were not fully endorsed by settler authorities.</w:t>
      </w:r>
      <w:r w:rsidRPr="00CF2272">
        <w:rPr>
          <w:rStyle w:val="FootnoteReference"/>
          <w:rFonts w:cstheme="minorHAnsi"/>
          <w:sz w:val="28"/>
          <w:szCs w:val="28"/>
        </w:rPr>
        <w:footnoteReference w:id="3"/>
      </w:r>
      <w:r w:rsidRPr="00CF2272">
        <w:rPr>
          <w:rFonts w:cstheme="minorHAnsi"/>
          <w:sz w:val="28"/>
          <w:szCs w:val="28"/>
        </w:rPr>
        <w:t xml:space="preserve"> </w:t>
      </w:r>
      <w:proofErr w:type="spellStart"/>
      <w:r w:rsidR="003349FB" w:rsidRPr="00CF2272">
        <w:rPr>
          <w:rFonts w:cstheme="minorHAnsi"/>
          <w:i/>
          <w:iCs/>
          <w:sz w:val="28"/>
          <w:szCs w:val="28"/>
        </w:rPr>
        <w:t>Giizih</w:t>
      </w:r>
      <w:proofErr w:type="spellEnd"/>
      <w:r w:rsidR="003349FB" w:rsidRPr="00CF2272">
        <w:rPr>
          <w:rFonts w:cstheme="minorHAnsi"/>
          <w:i/>
          <w:iCs/>
          <w:sz w:val="28"/>
          <w:szCs w:val="28"/>
        </w:rPr>
        <w:t>-Inini,</w:t>
      </w:r>
      <w:r w:rsidR="003349FB" w:rsidRPr="00CF2272">
        <w:rPr>
          <w:rStyle w:val="FootnoteReference"/>
          <w:rFonts w:cstheme="minorHAnsi"/>
          <w:i/>
          <w:iCs/>
          <w:sz w:val="28"/>
          <w:szCs w:val="28"/>
        </w:rPr>
        <w:footnoteReference w:id="4"/>
      </w:r>
      <w:r w:rsidR="003349FB" w:rsidRPr="00CF2272">
        <w:rPr>
          <w:rFonts w:cstheme="minorHAnsi"/>
          <w:sz w:val="28"/>
          <w:szCs w:val="28"/>
        </w:rPr>
        <w:t xml:space="preserve"> Spiritual Guide for the NCTR, describes a similar story.</w:t>
      </w:r>
      <w:r w:rsidR="00F5312D" w:rsidRPr="00CF2272">
        <w:rPr>
          <w:rFonts w:cstheme="minorHAnsi"/>
          <w:sz w:val="28"/>
          <w:szCs w:val="28"/>
        </w:rPr>
        <w:t xml:space="preserve"> From his own experience he notes that many cultural ceremonies and Indigenous social protocols “went underground” in the 1940s and 1950s when provincial and federal governments refused to formally recognize or even acknowledge collective traditional expressions of immanent </w:t>
      </w:r>
      <w:r w:rsidR="002D7490" w:rsidRPr="00CF2272">
        <w:rPr>
          <w:rFonts w:cstheme="minorHAnsi"/>
          <w:sz w:val="28"/>
          <w:szCs w:val="28"/>
        </w:rPr>
        <w:t xml:space="preserve">Indigenous </w:t>
      </w:r>
      <w:r w:rsidR="00F5312D" w:rsidRPr="00CF2272">
        <w:rPr>
          <w:rFonts w:cstheme="minorHAnsi"/>
          <w:sz w:val="28"/>
          <w:szCs w:val="28"/>
        </w:rPr>
        <w:t>law, culture, and identity.</w:t>
      </w:r>
      <w:r w:rsidR="00F5312D" w:rsidRPr="00CF2272">
        <w:rPr>
          <w:rFonts w:cstheme="minorHAnsi"/>
          <w:sz w:val="28"/>
          <w:szCs w:val="28"/>
          <w:vertAlign w:val="superscript"/>
        </w:rPr>
        <w:footnoteReference w:id="5"/>
      </w:r>
      <w:r w:rsidR="00F330D7" w:rsidRPr="00CF2272">
        <w:rPr>
          <w:rFonts w:cstheme="minorHAnsi"/>
          <w:sz w:val="28"/>
          <w:szCs w:val="28"/>
        </w:rPr>
        <w:t xml:space="preserve"> And in some cases made their practice illegal.</w:t>
      </w:r>
    </w:p>
    <w:p w14:paraId="58D378D7" w14:textId="4453C640" w:rsidR="007B5399" w:rsidRPr="00CF2272" w:rsidRDefault="004509F5" w:rsidP="007B5399">
      <w:pPr>
        <w:spacing w:line="360" w:lineRule="auto"/>
        <w:rPr>
          <w:rFonts w:cstheme="minorHAnsi"/>
          <w:sz w:val="28"/>
          <w:szCs w:val="28"/>
        </w:rPr>
      </w:pPr>
      <w:r w:rsidRPr="00CF2272">
        <w:rPr>
          <w:rFonts w:cstheme="minorHAnsi"/>
          <w:sz w:val="28"/>
          <w:szCs w:val="28"/>
        </w:rPr>
        <w:t>These anecdotes illustrate the gradual and purposeful erosion of Indigenous knowledge practices and worldviews in the colonial era: the progressive loss of cognitive social bonds, community memory, cultural identities, and normative natural laws resulting from the overwhelming assertion of imperial sovereignty and uncompromising colonial settlement.</w:t>
      </w:r>
      <w:r w:rsidRPr="00CF2272">
        <w:rPr>
          <w:rFonts w:cstheme="minorHAnsi"/>
          <w:sz w:val="28"/>
          <w:szCs w:val="28"/>
          <w:vertAlign w:val="superscript"/>
        </w:rPr>
        <w:footnoteReference w:id="6"/>
      </w:r>
      <w:r w:rsidRPr="00CF2272">
        <w:rPr>
          <w:rFonts w:cstheme="minorHAnsi"/>
          <w:sz w:val="28"/>
          <w:szCs w:val="28"/>
        </w:rPr>
        <w:t xml:space="preserve"> As a catalyst to this process, the </w:t>
      </w:r>
      <w:r w:rsidRPr="00CF2272">
        <w:rPr>
          <w:rFonts w:cstheme="minorHAnsi"/>
          <w:sz w:val="28"/>
          <w:szCs w:val="28"/>
        </w:rPr>
        <w:lastRenderedPageBreak/>
        <w:t>Canadian residential school program served as a solvent, dissolving community and family bonds and effacing the cultural identities of Indigenous children.</w:t>
      </w:r>
      <w:r w:rsidRPr="00CF2272">
        <w:rPr>
          <w:rFonts w:cstheme="minorHAnsi"/>
          <w:sz w:val="28"/>
          <w:szCs w:val="28"/>
          <w:vertAlign w:val="superscript"/>
        </w:rPr>
        <w:footnoteReference w:id="7"/>
      </w:r>
      <w:r w:rsidR="00211143" w:rsidRPr="00CF2272">
        <w:rPr>
          <w:rFonts w:cstheme="minorHAnsi"/>
          <w:sz w:val="28"/>
          <w:szCs w:val="28"/>
        </w:rPr>
        <w:t xml:space="preserve"> The attrition of Indigenous cognitive landscapes occurred in coordination with the physical loss of lands. </w:t>
      </w:r>
      <w:r w:rsidR="00D66991" w:rsidRPr="00CF2272">
        <w:rPr>
          <w:rFonts w:cstheme="minorHAnsi"/>
          <w:sz w:val="28"/>
          <w:szCs w:val="28"/>
        </w:rPr>
        <w:t>Indigenous legal sch</w:t>
      </w:r>
      <w:r w:rsidR="00671DA4" w:rsidRPr="00CF2272">
        <w:rPr>
          <w:rFonts w:cstheme="minorHAnsi"/>
          <w:sz w:val="28"/>
          <w:szCs w:val="28"/>
        </w:rPr>
        <w:t>olar</w:t>
      </w:r>
      <w:r w:rsidR="00D66991" w:rsidRPr="00CF2272">
        <w:rPr>
          <w:rFonts w:cstheme="minorHAnsi"/>
          <w:sz w:val="28"/>
          <w:szCs w:val="28"/>
        </w:rPr>
        <w:t xml:space="preserve"> </w:t>
      </w:r>
      <w:r w:rsidR="00211143" w:rsidRPr="00CF2272">
        <w:rPr>
          <w:rFonts w:cstheme="minorHAnsi"/>
          <w:sz w:val="28"/>
          <w:szCs w:val="28"/>
        </w:rPr>
        <w:t>James (</w:t>
      </w:r>
      <w:proofErr w:type="spellStart"/>
      <w:r w:rsidR="00211143" w:rsidRPr="00CF2272">
        <w:rPr>
          <w:rFonts w:cstheme="minorHAnsi"/>
          <w:sz w:val="28"/>
          <w:szCs w:val="28"/>
        </w:rPr>
        <w:t>Sa’ke’j</w:t>
      </w:r>
      <w:proofErr w:type="spellEnd"/>
      <w:r w:rsidR="00211143" w:rsidRPr="00CF2272">
        <w:rPr>
          <w:rFonts w:cstheme="minorHAnsi"/>
          <w:sz w:val="28"/>
          <w:szCs w:val="28"/>
        </w:rPr>
        <w:t>) Youngblood Henderson has described this enfolding Indigenous colonial experience as the “ideological twins of violence and imagination…. Violence controls the physical contexts of genocide and legal authority, while imagination controls the intellectual justification of violence in the context of cognitive and cultural imperialism.”</w:t>
      </w:r>
      <w:r w:rsidR="00211143" w:rsidRPr="00CF2272">
        <w:rPr>
          <w:rStyle w:val="FootnoteReference"/>
          <w:rFonts w:cstheme="minorHAnsi"/>
          <w:sz w:val="28"/>
          <w:szCs w:val="28"/>
        </w:rPr>
        <w:footnoteReference w:id="8"/>
      </w:r>
      <w:r w:rsidR="00211143" w:rsidRPr="00CF2272">
        <w:rPr>
          <w:rFonts w:cstheme="minorHAnsi"/>
          <w:sz w:val="28"/>
          <w:szCs w:val="28"/>
        </w:rPr>
        <w:t xml:space="preserve"> If </w:t>
      </w:r>
      <w:r w:rsidR="002D7490" w:rsidRPr="00CF2272">
        <w:rPr>
          <w:rFonts w:cstheme="minorHAnsi"/>
          <w:sz w:val="28"/>
          <w:szCs w:val="28"/>
        </w:rPr>
        <w:t xml:space="preserve">ever </w:t>
      </w:r>
      <w:r w:rsidR="00211143" w:rsidRPr="00CF2272">
        <w:rPr>
          <w:rFonts w:cstheme="minorHAnsi"/>
          <w:sz w:val="28"/>
          <w:szCs w:val="28"/>
        </w:rPr>
        <w:t xml:space="preserve">we are to braid together our respective intellectual worldviews, </w:t>
      </w:r>
      <w:r w:rsidR="00B2126C" w:rsidRPr="00CF2272">
        <w:rPr>
          <w:rFonts w:cstheme="minorHAnsi"/>
          <w:sz w:val="28"/>
          <w:szCs w:val="28"/>
        </w:rPr>
        <w:t xml:space="preserve">acknowledge our mutual humanity, </w:t>
      </w:r>
      <w:r w:rsidR="0019050D" w:rsidRPr="00CF2272">
        <w:rPr>
          <w:rFonts w:cstheme="minorHAnsi"/>
          <w:sz w:val="28"/>
          <w:szCs w:val="28"/>
        </w:rPr>
        <w:t xml:space="preserve">dignity, and human rights, </w:t>
      </w:r>
      <w:r w:rsidR="00211143" w:rsidRPr="00CF2272">
        <w:rPr>
          <w:rFonts w:cstheme="minorHAnsi"/>
          <w:sz w:val="28"/>
          <w:szCs w:val="28"/>
        </w:rPr>
        <w:t xml:space="preserve">we </w:t>
      </w:r>
      <w:r w:rsidR="00211143" w:rsidRPr="00CF2272">
        <w:rPr>
          <w:rFonts w:cstheme="minorHAnsi"/>
          <w:sz w:val="28"/>
          <w:szCs w:val="28"/>
        </w:rPr>
        <w:lastRenderedPageBreak/>
        <w:t xml:space="preserve">must </w:t>
      </w:r>
      <w:r w:rsidR="0019050D" w:rsidRPr="00CF2272">
        <w:rPr>
          <w:rFonts w:cstheme="minorHAnsi"/>
          <w:sz w:val="28"/>
          <w:szCs w:val="28"/>
        </w:rPr>
        <w:t>create a meaningful</w:t>
      </w:r>
      <w:r w:rsidR="00211143" w:rsidRPr="00CF2272">
        <w:rPr>
          <w:rFonts w:cstheme="minorHAnsi"/>
          <w:sz w:val="28"/>
          <w:szCs w:val="28"/>
        </w:rPr>
        <w:t xml:space="preserve"> space for Indigenous ways of knowing in our academic, </w:t>
      </w:r>
      <w:r w:rsidR="00D90446" w:rsidRPr="00CF2272">
        <w:rPr>
          <w:rFonts w:cstheme="minorHAnsi"/>
          <w:sz w:val="28"/>
          <w:szCs w:val="28"/>
        </w:rPr>
        <w:t>social</w:t>
      </w:r>
      <w:r w:rsidR="00211143" w:rsidRPr="00CF2272">
        <w:rPr>
          <w:rFonts w:cstheme="minorHAnsi"/>
          <w:sz w:val="28"/>
          <w:szCs w:val="28"/>
        </w:rPr>
        <w:t xml:space="preserve">, and professional fields. Fields currently built on specific </w:t>
      </w:r>
      <w:r w:rsidR="00F620E7" w:rsidRPr="00CF2272">
        <w:rPr>
          <w:rFonts w:cstheme="minorHAnsi"/>
          <w:sz w:val="28"/>
          <w:szCs w:val="28"/>
        </w:rPr>
        <w:t xml:space="preserve">western </w:t>
      </w:r>
      <w:r w:rsidR="00211143" w:rsidRPr="00CF2272">
        <w:rPr>
          <w:rFonts w:cstheme="minorHAnsi"/>
          <w:sz w:val="28"/>
          <w:szCs w:val="28"/>
        </w:rPr>
        <w:t xml:space="preserve">bodies of knowledge. This </w:t>
      </w:r>
      <w:r w:rsidR="009C0BAE" w:rsidRPr="00CF2272">
        <w:rPr>
          <w:rFonts w:cstheme="minorHAnsi"/>
          <w:sz w:val="28"/>
          <w:szCs w:val="28"/>
        </w:rPr>
        <w:t xml:space="preserve">quest </w:t>
      </w:r>
      <w:r w:rsidR="00211143" w:rsidRPr="00CF2272">
        <w:rPr>
          <w:rFonts w:cstheme="minorHAnsi"/>
          <w:sz w:val="28"/>
          <w:szCs w:val="28"/>
        </w:rPr>
        <w:t>begins by acknowledging the removal, co</w:t>
      </w:r>
      <w:r w:rsidR="009C6BCE" w:rsidRPr="00CF2272">
        <w:rPr>
          <w:rFonts w:cstheme="minorHAnsi"/>
          <w:sz w:val="28"/>
          <w:szCs w:val="28"/>
        </w:rPr>
        <w:t>-</w:t>
      </w:r>
      <w:r w:rsidR="00211143" w:rsidRPr="00CF2272">
        <w:rPr>
          <w:rFonts w:cstheme="minorHAnsi"/>
          <w:sz w:val="28"/>
          <w:szCs w:val="28"/>
        </w:rPr>
        <w:t xml:space="preserve">opting, and </w:t>
      </w:r>
      <w:r w:rsidR="00B0327E" w:rsidRPr="00CF2272">
        <w:rPr>
          <w:rFonts w:cstheme="minorHAnsi"/>
          <w:sz w:val="28"/>
          <w:szCs w:val="28"/>
        </w:rPr>
        <w:t>absorption</w:t>
      </w:r>
      <w:r w:rsidR="00211143" w:rsidRPr="00CF2272">
        <w:rPr>
          <w:rFonts w:cstheme="minorHAnsi"/>
          <w:sz w:val="28"/>
          <w:szCs w:val="28"/>
        </w:rPr>
        <w:t xml:space="preserve"> of Indigenous cognitive understanding, the ideological violence practiced on Indigenous imagination.</w:t>
      </w:r>
    </w:p>
    <w:p w14:paraId="7F73834B" w14:textId="39C7F521" w:rsidR="004E701E" w:rsidRPr="00CF2272" w:rsidRDefault="008777C4" w:rsidP="007B5399">
      <w:pPr>
        <w:spacing w:line="360" w:lineRule="auto"/>
        <w:rPr>
          <w:rFonts w:cstheme="minorHAnsi"/>
          <w:sz w:val="28"/>
          <w:szCs w:val="28"/>
        </w:rPr>
      </w:pPr>
      <w:r w:rsidRPr="00CF2272">
        <w:rPr>
          <w:rFonts w:cstheme="minorHAnsi"/>
          <w:sz w:val="28"/>
          <w:szCs w:val="28"/>
        </w:rPr>
        <w:t>I argue in this p</w:t>
      </w:r>
      <w:r w:rsidR="00E53406" w:rsidRPr="00CF2272">
        <w:rPr>
          <w:rFonts w:cstheme="minorHAnsi"/>
          <w:sz w:val="28"/>
          <w:szCs w:val="28"/>
        </w:rPr>
        <w:t>resentation</w:t>
      </w:r>
      <w:r w:rsidRPr="00CF2272">
        <w:rPr>
          <w:rFonts w:cstheme="minorHAnsi"/>
          <w:sz w:val="28"/>
          <w:szCs w:val="28"/>
        </w:rPr>
        <w:t xml:space="preserve"> that in </w:t>
      </w:r>
      <w:r w:rsidR="003B2A36" w:rsidRPr="00CF2272">
        <w:rPr>
          <w:rFonts w:cstheme="minorHAnsi"/>
          <w:sz w:val="28"/>
          <w:szCs w:val="28"/>
        </w:rPr>
        <w:t xml:space="preserve">the </w:t>
      </w:r>
      <w:r w:rsidR="00582E73" w:rsidRPr="00CF2272">
        <w:rPr>
          <w:rFonts w:cstheme="minorHAnsi"/>
          <w:sz w:val="28"/>
          <w:szCs w:val="28"/>
        </w:rPr>
        <w:t xml:space="preserve">colonial </w:t>
      </w:r>
      <w:r w:rsidR="003B2A36" w:rsidRPr="00CF2272">
        <w:rPr>
          <w:rFonts w:cstheme="minorHAnsi"/>
          <w:sz w:val="28"/>
          <w:szCs w:val="28"/>
        </w:rPr>
        <w:t xml:space="preserve">relationship between Indigenous peoples and </w:t>
      </w:r>
      <w:r w:rsidR="00F50093" w:rsidRPr="00CF2272">
        <w:rPr>
          <w:rFonts w:cstheme="minorHAnsi"/>
          <w:sz w:val="28"/>
          <w:szCs w:val="28"/>
        </w:rPr>
        <w:t xml:space="preserve">Imperial/Settler </w:t>
      </w:r>
      <w:r w:rsidR="007A1C34" w:rsidRPr="00CF2272">
        <w:rPr>
          <w:rFonts w:cstheme="minorHAnsi"/>
          <w:sz w:val="28"/>
          <w:szCs w:val="28"/>
        </w:rPr>
        <w:t xml:space="preserve">authorities </w:t>
      </w:r>
      <w:r w:rsidR="00F21530" w:rsidRPr="00CF2272">
        <w:rPr>
          <w:rFonts w:cstheme="minorHAnsi"/>
          <w:sz w:val="28"/>
          <w:szCs w:val="28"/>
        </w:rPr>
        <w:t>–</w:t>
      </w:r>
      <w:r w:rsidR="007A1C34" w:rsidRPr="00CF2272">
        <w:rPr>
          <w:rFonts w:cstheme="minorHAnsi"/>
          <w:sz w:val="28"/>
          <w:szCs w:val="28"/>
        </w:rPr>
        <w:t xml:space="preserve"> </w:t>
      </w:r>
      <w:r w:rsidR="00F21530" w:rsidRPr="00CF2272">
        <w:rPr>
          <w:rFonts w:cstheme="minorHAnsi"/>
          <w:sz w:val="28"/>
          <w:szCs w:val="28"/>
        </w:rPr>
        <w:t xml:space="preserve">religious, legal, and cultural </w:t>
      </w:r>
      <w:r w:rsidR="00A21029" w:rsidRPr="00CF2272">
        <w:rPr>
          <w:rFonts w:cstheme="minorHAnsi"/>
          <w:sz w:val="28"/>
          <w:szCs w:val="28"/>
        </w:rPr>
        <w:t>–</w:t>
      </w:r>
      <w:r w:rsidR="00F21530" w:rsidRPr="00CF2272">
        <w:rPr>
          <w:rFonts w:cstheme="minorHAnsi"/>
          <w:sz w:val="28"/>
          <w:szCs w:val="28"/>
        </w:rPr>
        <w:t xml:space="preserve"> </w:t>
      </w:r>
      <w:r w:rsidR="00A21029" w:rsidRPr="00CF2272">
        <w:rPr>
          <w:rFonts w:cstheme="minorHAnsi"/>
          <w:sz w:val="28"/>
          <w:szCs w:val="28"/>
        </w:rPr>
        <w:t>there has always been an ongoing tension between</w:t>
      </w:r>
      <w:r w:rsidR="005417FC" w:rsidRPr="00CF2272">
        <w:rPr>
          <w:rFonts w:cstheme="minorHAnsi"/>
          <w:sz w:val="28"/>
          <w:szCs w:val="28"/>
        </w:rPr>
        <w:t xml:space="preserve"> the</w:t>
      </w:r>
      <w:r w:rsidR="00A21029" w:rsidRPr="00CF2272">
        <w:rPr>
          <w:rFonts w:cstheme="minorHAnsi"/>
          <w:sz w:val="28"/>
          <w:szCs w:val="28"/>
        </w:rPr>
        <w:t xml:space="preserve"> </w:t>
      </w:r>
      <w:r w:rsidR="00F1546F" w:rsidRPr="00CF2272">
        <w:rPr>
          <w:rFonts w:cstheme="minorHAnsi"/>
          <w:sz w:val="28"/>
          <w:szCs w:val="28"/>
        </w:rPr>
        <w:t xml:space="preserve">formal, </w:t>
      </w:r>
      <w:r w:rsidR="00743402" w:rsidRPr="00CF2272">
        <w:rPr>
          <w:rFonts w:cstheme="minorHAnsi"/>
          <w:sz w:val="28"/>
          <w:szCs w:val="28"/>
        </w:rPr>
        <w:t>legal</w:t>
      </w:r>
      <w:r w:rsidR="00BB71B5" w:rsidRPr="00CF2272">
        <w:rPr>
          <w:rFonts w:cstheme="minorHAnsi"/>
          <w:sz w:val="28"/>
          <w:szCs w:val="28"/>
        </w:rPr>
        <w:t xml:space="preserve"> and statist</w:t>
      </w:r>
      <w:r w:rsidR="00F1546F" w:rsidRPr="00CF2272">
        <w:rPr>
          <w:rFonts w:cstheme="minorHAnsi"/>
          <w:sz w:val="28"/>
          <w:szCs w:val="28"/>
        </w:rPr>
        <w:t xml:space="preserve"> methods of enshrining </w:t>
      </w:r>
      <w:r w:rsidR="00D179AB" w:rsidRPr="00CF2272">
        <w:rPr>
          <w:rFonts w:cstheme="minorHAnsi"/>
          <w:sz w:val="28"/>
          <w:szCs w:val="28"/>
        </w:rPr>
        <w:t>valued and sanctioned memo</w:t>
      </w:r>
      <w:r w:rsidR="00D76E37" w:rsidRPr="00CF2272">
        <w:rPr>
          <w:rFonts w:cstheme="minorHAnsi"/>
          <w:sz w:val="28"/>
          <w:szCs w:val="28"/>
        </w:rPr>
        <w:t>ry</w:t>
      </w:r>
      <w:r w:rsidR="003A6241" w:rsidRPr="00CF2272">
        <w:rPr>
          <w:rFonts w:cstheme="minorHAnsi"/>
          <w:sz w:val="28"/>
          <w:szCs w:val="28"/>
        </w:rPr>
        <w:t xml:space="preserve">, what </w:t>
      </w:r>
      <w:r w:rsidR="0061406A" w:rsidRPr="00CF2272">
        <w:rPr>
          <w:rFonts w:cstheme="minorHAnsi"/>
          <w:sz w:val="28"/>
          <w:szCs w:val="28"/>
        </w:rPr>
        <w:t>J</w:t>
      </w:r>
      <w:r w:rsidR="003A6241" w:rsidRPr="00CF2272">
        <w:rPr>
          <w:rFonts w:cstheme="minorHAnsi"/>
          <w:sz w:val="28"/>
          <w:szCs w:val="28"/>
        </w:rPr>
        <w:t xml:space="preserve">ames Tulley </w:t>
      </w:r>
      <w:r w:rsidR="0061406A" w:rsidRPr="00CF2272">
        <w:rPr>
          <w:rFonts w:cstheme="minorHAnsi"/>
          <w:sz w:val="28"/>
          <w:szCs w:val="28"/>
        </w:rPr>
        <w:t xml:space="preserve">has called the “universal pretentions of the </w:t>
      </w:r>
      <w:r w:rsidR="00B2728B" w:rsidRPr="00CF2272">
        <w:rPr>
          <w:rFonts w:cstheme="minorHAnsi"/>
          <w:sz w:val="28"/>
          <w:szCs w:val="28"/>
        </w:rPr>
        <w:t>juridical</w:t>
      </w:r>
      <w:proofErr w:type="gramStart"/>
      <w:r w:rsidR="0061406A" w:rsidRPr="00CF2272">
        <w:rPr>
          <w:rFonts w:cstheme="minorHAnsi"/>
          <w:sz w:val="28"/>
          <w:szCs w:val="28"/>
        </w:rPr>
        <w:t xml:space="preserve">” </w:t>
      </w:r>
      <w:r w:rsidR="00D76E37" w:rsidRPr="00CF2272">
        <w:rPr>
          <w:rFonts w:cstheme="minorHAnsi"/>
          <w:sz w:val="28"/>
          <w:szCs w:val="28"/>
        </w:rPr>
        <w:t>;</w:t>
      </w:r>
      <w:proofErr w:type="gramEnd"/>
      <w:r w:rsidR="00D76E37" w:rsidRPr="00CF2272">
        <w:rPr>
          <w:rFonts w:cstheme="minorHAnsi"/>
          <w:sz w:val="28"/>
          <w:szCs w:val="28"/>
        </w:rPr>
        <w:t xml:space="preserve"> </w:t>
      </w:r>
      <w:r w:rsidR="004F5D23" w:rsidRPr="00CF2272">
        <w:rPr>
          <w:rFonts w:cstheme="minorHAnsi"/>
          <w:sz w:val="28"/>
          <w:szCs w:val="28"/>
        </w:rPr>
        <w:t>and th</w:t>
      </w:r>
      <w:r w:rsidR="00CD2BD7" w:rsidRPr="00CF2272">
        <w:rPr>
          <w:rFonts w:cstheme="minorHAnsi"/>
          <w:sz w:val="28"/>
          <w:szCs w:val="28"/>
        </w:rPr>
        <w:t>e</w:t>
      </w:r>
      <w:r w:rsidR="004F5D23" w:rsidRPr="00CF2272">
        <w:rPr>
          <w:rFonts w:cstheme="minorHAnsi"/>
          <w:sz w:val="28"/>
          <w:szCs w:val="28"/>
        </w:rPr>
        <w:t xml:space="preserve"> implicit, </w:t>
      </w:r>
      <w:r w:rsidR="00CF760A" w:rsidRPr="00CF2272">
        <w:rPr>
          <w:rFonts w:cstheme="minorHAnsi"/>
          <w:sz w:val="28"/>
          <w:szCs w:val="28"/>
        </w:rPr>
        <w:t>sacred,</w:t>
      </w:r>
      <w:r w:rsidR="004F5D23" w:rsidRPr="00CF2272">
        <w:rPr>
          <w:rFonts w:cstheme="minorHAnsi"/>
          <w:sz w:val="28"/>
          <w:szCs w:val="28"/>
        </w:rPr>
        <w:t xml:space="preserve"> and immanent </w:t>
      </w:r>
      <w:r w:rsidR="000D04D3" w:rsidRPr="00CF2272">
        <w:rPr>
          <w:rFonts w:cstheme="minorHAnsi"/>
          <w:sz w:val="28"/>
          <w:szCs w:val="28"/>
        </w:rPr>
        <w:t xml:space="preserve">Indigenous </w:t>
      </w:r>
      <w:r w:rsidR="004F5D23" w:rsidRPr="00CF2272">
        <w:rPr>
          <w:rFonts w:cstheme="minorHAnsi"/>
          <w:sz w:val="28"/>
          <w:szCs w:val="28"/>
        </w:rPr>
        <w:t xml:space="preserve">order </w:t>
      </w:r>
      <w:r w:rsidR="000D4E00" w:rsidRPr="00CF2272">
        <w:rPr>
          <w:rFonts w:cstheme="minorHAnsi"/>
          <w:sz w:val="28"/>
          <w:szCs w:val="28"/>
        </w:rPr>
        <w:t>pre-existing in local contexts of nature</w:t>
      </w:r>
      <w:r w:rsidR="005417FC" w:rsidRPr="00CF2272">
        <w:rPr>
          <w:rFonts w:cstheme="minorHAnsi"/>
          <w:sz w:val="28"/>
          <w:szCs w:val="28"/>
        </w:rPr>
        <w:t xml:space="preserve"> and humanity. </w:t>
      </w:r>
      <w:r w:rsidR="006177D4" w:rsidRPr="00CF2272">
        <w:rPr>
          <w:rFonts w:cstheme="minorHAnsi"/>
          <w:sz w:val="28"/>
          <w:szCs w:val="28"/>
        </w:rPr>
        <w:t>As Har</w:t>
      </w:r>
      <w:r w:rsidR="003A019B" w:rsidRPr="00CF2272">
        <w:rPr>
          <w:rFonts w:cstheme="minorHAnsi"/>
          <w:sz w:val="28"/>
          <w:szCs w:val="28"/>
        </w:rPr>
        <w:t xml:space="preserve">old Berman describes in his work, </w:t>
      </w:r>
      <w:r w:rsidR="003A019B" w:rsidRPr="00CF2272">
        <w:rPr>
          <w:rFonts w:cstheme="minorHAnsi"/>
          <w:i/>
          <w:iCs/>
          <w:sz w:val="28"/>
          <w:szCs w:val="28"/>
        </w:rPr>
        <w:t>Law and Revolution</w:t>
      </w:r>
      <w:r w:rsidR="003A019B" w:rsidRPr="00CF2272">
        <w:rPr>
          <w:rFonts w:cstheme="minorHAnsi"/>
          <w:sz w:val="28"/>
          <w:szCs w:val="28"/>
        </w:rPr>
        <w:t>, t</w:t>
      </w:r>
      <w:r w:rsidR="00DB4DC4" w:rsidRPr="00CF2272">
        <w:rPr>
          <w:rFonts w:cstheme="minorHAnsi"/>
          <w:sz w:val="28"/>
          <w:szCs w:val="28"/>
        </w:rPr>
        <w:t xml:space="preserve">his inherent tension </w:t>
      </w:r>
      <w:r w:rsidR="00EF65B6" w:rsidRPr="00CF2272">
        <w:rPr>
          <w:rFonts w:cstheme="minorHAnsi"/>
          <w:sz w:val="28"/>
          <w:szCs w:val="28"/>
        </w:rPr>
        <w:t xml:space="preserve">between </w:t>
      </w:r>
      <w:r w:rsidR="00BC34B5" w:rsidRPr="00CF2272">
        <w:rPr>
          <w:rFonts w:cstheme="minorHAnsi"/>
          <w:sz w:val="28"/>
          <w:szCs w:val="28"/>
        </w:rPr>
        <w:t>innate</w:t>
      </w:r>
      <w:r w:rsidR="006E0DB8" w:rsidRPr="00CF2272">
        <w:rPr>
          <w:rFonts w:cstheme="minorHAnsi"/>
          <w:sz w:val="28"/>
          <w:szCs w:val="28"/>
        </w:rPr>
        <w:t xml:space="preserve"> </w:t>
      </w:r>
      <w:r w:rsidR="00EF65B6" w:rsidRPr="00CF2272">
        <w:rPr>
          <w:rFonts w:cstheme="minorHAnsi"/>
          <w:sz w:val="28"/>
          <w:szCs w:val="28"/>
        </w:rPr>
        <w:t xml:space="preserve">human rights and statist authority, </w:t>
      </w:r>
      <w:r w:rsidR="00DB4DC4" w:rsidRPr="00CF2272">
        <w:rPr>
          <w:rFonts w:cstheme="minorHAnsi"/>
          <w:sz w:val="28"/>
          <w:szCs w:val="28"/>
        </w:rPr>
        <w:t xml:space="preserve">has resulted in </w:t>
      </w:r>
      <w:r w:rsidR="00AE3EAD" w:rsidRPr="00CF2272">
        <w:rPr>
          <w:rFonts w:cstheme="minorHAnsi"/>
          <w:sz w:val="28"/>
          <w:szCs w:val="28"/>
        </w:rPr>
        <w:t>well-kn</w:t>
      </w:r>
      <w:r w:rsidR="006E0DB8" w:rsidRPr="00CF2272">
        <w:rPr>
          <w:rFonts w:cstheme="minorHAnsi"/>
          <w:sz w:val="28"/>
          <w:szCs w:val="28"/>
        </w:rPr>
        <w:t>o</w:t>
      </w:r>
      <w:r w:rsidR="00AE3EAD" w:rsidRPr="00CF2272">
        <w:rPr>
          <w:rFonts w:cstheme="minorHAnsi"/>
          <w:sz w:val="28"/>
          <w:szCs w:val="28"/>
        </w:rPr>
        <w:t>wn</w:t>
      </w:r>
      <w:r w:rsidR="00070D40" w:rsidRPr="00CF2272">
        <w:rPr>
          <w:rFonts w:cstheme="minorHAnsi"/>
          <w:sz w:val="28"/>
          <w:szCs w:val="28"/>
        </w:rPr>
        <w:t xml:space="preserve"> peoples</w:t>
      </w:r>
      <w:r w:rsidR="009328B3" w:rsidRPr="00CF2272">
        <w:rPr>
          <w:rFonts w:cstheme="minorHAnsi"/>
          <w:sz w:val="28"/>
          <w:szCs w:val="28"/>
        </w:rPr>
        <w:t>’</w:t>
      </w:r>
      <w:r w:rsidR="00070D40" w:rsidRPr="00CF2272">
        <w:rPr>
          <w:rFonts w:cstheme="minorHAnsi"/>
          <w:sz w:val="28"/>
          <w:szCs w:val="28"/>
        </w:rPr>
        <w:t xml:space="preserve"> revolutions</w:t>
      </w:r>
      <w:r w:rsidR="00966D2D" w:rsidRPr="00CF2272">
        <w:rPr>
          <w:rFonts w:cstheme="minorHAnsi"/>
          <w:sz w:val="28"/>
          <w:szCs w:val="28"/>
        </w:rPr>
        <w:t xml:space="preserve"> – French, English, Russian</w:t>
      </w:r>
      <w:r w:rsidR="00FF14EF" w:rsidRPr="00CF2272">
        <w:rPr>
          <w:rFonts w:cstheme="minorHAnsi"/>
          <w:sz w:val="28"/>
          <w:szCs w:val="28"/>
        </w:rPr>
        <w:t xml:space="preserve">. </w:t>
      </w:r>
      <w:r w:rsidR="001A0CFB">
        <w:rPr>
          <w:rFonts w:cstheme="minorHAnsi"/>
          <w:sz w:val="28"/>
          <w:szCs w:val="28"/>
        </w:rPr>
        <w:t xml:space="preserve">The </w:t>
      </w:r>
      <w:r w:rsidR="00070D40" w:rsidRPr="00CF2272">
        <w:rPr>
          <w:rFonts w:cstheme="minorHAnsi"/>
          <w:i/>
          <w:iCs/>
          <w:sz w:val="28"/>
          <w:szCs w:val="28"/>
        </w:rPr>
        <w:t>UN D</w:t>
      </w:r>
      <w:r w:rsidR="00F90832" w:rsidRPr="00CF2272">
        <w:rPr>
          <w:rFonts w:cstheme="minorHAnsi"/>
          <w:i/>
          <w:iCs/>
          <w:sz w:val="28"/>
          <w:szCs w:val="28"/>
        </w:rPr>
        <w:t xml:space="preserve">eclaration on the </w:t>
      </w:r>
      <w:r w:rsidR="00070D40" w:rsidRPr="00CF2272">
        <w:rPr>
          <w:rFonts w:cstheme="minorHAnsi"/>
          <w:i/>
          <w:iCs/>
          <w:sz w:val="28"/>
          <w:szCs w:val="28"/>
        </w:rPr>
        <w:t>R</w:t>
      </w:r>
      <w:r w:rsidR="00F90832" w:rsidRPr="00CF2272">
        <w:rPr>
          <w:rFonts w:cstheme="minorHAnsi"/>
          <w:i/>
          <w:iCs/>
          <w:sz w:val="28"/>
          <w:szCs w:val="28"/>
        </w:rPr>
        <w:t xml:space="preserve">ights of Indigenous </w:t>
      </w:r>
      <w:r w:rsidR="00070D40" w:rsidRPr="00CF2272">
        <w:rPr>
          <w:rFonts w:cstheme="minorHAnsi"/>
          <w:i/>
          <w:iCs/>
          <w:sz w:val="28"/>
          <w:szCs w:val="28"/>
        </w:rPr>
        <w:t>P</w:t>
      </w:r>
      <w:r w:rsidR="00F90832" w:rsidRPr="00CF2272">
        <w:rPr>
          <w:rFonts w:cstheme="minorHAnsi"/>
          <w:i/>
          <w:iCs/>
          <w:sz w:val="28"/>
          <w:szCs w:val="28"/>
        </w:rPr>
        <w:t>eoples</w:t>
      </w:r>
      <w:r w:rsidR="00521F3E" w:rsidRPr="00CF2272">
        <w:rPr>
          <w:rFonts w:cstheme="minorHAnsi"/>
          <w:sz w:val="28"/>
          <w:szCs w:val="28"/>
        </w:rPr>
        <w:t xml:space="preserve"> is</w:t>
      </w:r>
      <w:r w:rsidR="00070D40" w:rsidRPr="00CF2272">
        <w:rPr>
          <w:rFonts w:cstheme="minorHAnsi"/>
          <w:sz w:val="28"/>
          <w:szCs w:val="28"/>
        </w:rPr>
        <w:t xml:space="preserve"> the most recent</w:t>
      </w:r>
      <w:r w:rsidR="00820382" w:rsidRPr="00CF2272">
        <w:rPr>
          <w:rFonts w:cstheme="minorHAnsi"/>
          <w:sz w:val="28"/>
          <w:szCs w:val="28"/>
        </w:rPr>
        <w:t xml:space="preserve"> example</w:t>
      </w:r>
      <w:r w:rsidR="00DE4D4F" w:rsidRPr="00CF2272">
        <w:rPr>
          <w:rFonts w:cstheme="minorHAnsi"/>
          <w:sz w:val="28"/>
          <w:szCs w:val="28"/>
        </w:rPr>
        <w:t xml:space="preserve"> of these revolutions</w:t>
      </w:r>
      <w:r w:rsidR="00070D40" w:rsidRPr="00CF2272">
        <w:rPr>
          <w:rFonts w:cstheme="minorHAnsi"/>
          <w:sz w:val="28"/>
          <w:szCs w:val="28"/>
        </w:rPr>
        <w:t>.</w:t>
      </w:r>
      <w:r w:rsidR="00D7645F" w:rsidRPr="00CF2272">
        <w:rPr>
          <w:rFonts w:cstheme="minorHAnsi"/>
          <w:sz w:val="28"/>
          <w:szCs w:val="28"/>
        </w:rPr>
        <w:t xml:space="preserve"> </w:t>
      </w:r>
      <w:r w:rsidR="009C7A39" w:rsidRPr="00CF2272">
        <w:rPr>
          <w:rFonts w:cstheme="minorHAnsi"/>
          <w:sz w:val="28"/>
          <w:szCs w:val="28"/>
        </w:rPr>
        <w:t xml:space="preserve">I </w:t>
      </w:r>
      <w:r w:rsidR="00306BE8" w:rsidRPr="00CF2272">
        <w:rPr>
          <w:rFonts w:cstheme="minorHAnsi"/>
          <w:sz w:val="28"/>
          <w:szCs w:val="28"/>
        </w:rPr>
        <w:t>suggest</w:t>
      </w:r>
      <w:r w:rsidR="00A3512A" w:rsidRPr="00CF2272">
        <w:rPr>
          <w:rFonts w:cstheme="minorHAnsi"/>
          <w:sz w:val="28"/>
          <w:szCs w:val="28"/>
        </w:rPr>
        <w:t xml:space="preserve"> that</w:t>
      </w:r>
      <w:r w:rsidR="009C7A39" w:rsidRPr="00CF2272">
        <w:rPr>
          <w:rFonts w:cstheme="minorHAnsi"/>
          <w:sz w:val="28"/>
          <w:szCs w:val="28"/>
        </w:rPr>
        <w:t xml:space="preserve"> </w:t>
      </w:r>
      <w:r w:rsidR="00763F9E" w:rsidRPr="00CF2272">
        <w:rPr>
          <w:rFonts w:cstheme="minorHAnsi"/>
          <w:sz w:val="28"/>
          <w:szCs w:val="28"/>
        </w:rPr>
        <w:t>to find pathways for a meaningful framework of international rights that incorporates the life ways of Indigenous peoples</w:t>
      </w:r>
      <w:r w:rsidR="005A6449" w:rsidRPr="00CF2272">
        <w:rPr>
          <w:rFonts w:cstheme="minorHAnsi"/>
          <w:sz w:val="28"/>
          <w:szCs w:val="28"/>
        </w:rPr>
        <w:t>,</w:t>
      </w:r>
      <w:r w:rsidR="00763F9E" w:rsidRPr="00CF2272">
        <w:rPr>
          <w:rFonts w:cstheme="minorHAnsi"/>
          <w:sz w:val="28"/>
          <w:szCs w:val="28"/>
        </w:rPr>
        <w:t xml:space="preserve"> </w:t>
      </w:r>
      <w:r w:rsidR="005A6449" w:rsidRPr="00CF2272">
        <w:rPr>
          <w:rFonts w:cstheme="minorHAnsi"/>
          <w:sz w:val="28"/>
          <w:szCs w:val="28"/>
        </w:rPr>
        <w:t>we must</w:t>
      </w:r>
      <w:r w:rsidR="009C7A39" w:rsidRPr="00CF2272">
        <w:rPr>
          <w:rFonts w:cstheme="minorHAnsi"/>
          <w:sz w:val="28"/>
          <w:szCs w:val="28"/>
        </w:rPr>
        <w:t xml:space="preserve"> recogniz</w:t>
      </w:r>
      <w:r w:rsidR="005A6449" w:rsidRPr="00CF2272">
        <w:rPr>
          <w:rFonts w:cstheme="minorHAnsi"/>
          <w:sz w:val="28"/>
          <w:szCs w:val="28"/>
        </w:rPr>
        <w:t>e</w:t>
      </w:r>
      <w:r w:rsidR="009C7A39" w:rsidRPr="00CF2272">
        <w:rPr>
          <w:rFonts w:cstheme="minorHAnsi"/>
          <w:sz w:val="28"/>
          <w:szCs w:val="28"/>
        </w:rPr>
        <w:t xml:space="preserve"> this inherent tension between </w:t>
      </w:r>
      <w:r w:rsidR="00210A0E" w:rsidRPr="00CF2272">
        <w:rPr>
          <w:rFonts w:cstheme="minorHAnsi"/>
          <w:sz w:val="28"/>
          <w:szCs w:val="28"/>
        </w:rPr>
        <w:t xml:space="preserve">the </w:t>
      </w:r>
      <w:r w:rsidR="00400844" w:rsidRPr="00CF2272">
        <w:rPr>
          <w:rFonts w:cstheme="minorHAnsi"/>
          <w:sz w:val="28"/>
          <w:szCs w:val="28"/>
        </w:rPr>
        <w:t>latent</w:t>
      </w:r>
      <w:r w:rsidR="00210A0E" w:rsidRPr="00CF2272">
        <w:rPr>
          <w:rFonts w:cstheme="minorHAnsi"/>
          <w:sz w:val="28"/>
          <w:szCs w:val="28"/>
        </w:rPr>
        <w:t xml:space="preserve"> normative order of Indigenous</w:t>
      </w:r>
      <w:r w:rsidR="00400844" w:rsidRPr="00CF2272">
        <w:rPr>
          <w:rFonts w:cstheme="minorHAnsi"/>
          <w:sz w:val="28"/>
          <w:szCs w:val="28"/>
        </w:rPr>
        <w:t xml:space="preserve"> </w:t>
      </w:r>
      <w:proofErr w:type="gramStart"/>
      <w:r w:rsidR="00400844" w:rsidRPr="00CF2272">
        <w:rPr>
          <w:rFonts w:cstheme="minorHAnsi"/>
          <w:sz w:val="28"/>
          <w:szCs w:val="28"/>
        </w:rPr>
        <w:t>peoples</w:t>
      </w:r>
      <w:proofErr w:type="gramEnd"/>
      <w:r w:rsidR="00400844" w:rsidRPr="00CF2272">
        <w:rPr>
          <w:rFonts w:cstheme="minorHAnsi"/>
          <w:sz w:val="28"/>
          <w:szCs w:val="28"/>
        </w:rPr>
        <w:t xml:space="preserve"> rights</w:t>
      </w:r>
      <w:r w:rsidR="00116021" w:rsidRPr="00CF2272">
        <w:rPr>
          <w:rFonts w:cstheme="minorHAnsi"/>
          <w:sz w:val="28"/>
          <w:szCs w:val="28"/>
        </w:rPr>
        <w:t>, expressed and understood within their self-determined worldviews</w:t>
      </w:r>
      <w:r w:rsidR="00400844" w:rsidRPr="00CF2272">
        <w:rPr>
          <w:rFonts w:cstheme="minorHAnsi"/>
          <w:sz w:val="28"/>
          <w:szCs w:val="28"/>
        </w:rPr>
        <w:t>; and</w:t>
      </w:r>
      <w:r w:rsidR="002B75F7" w:rsidRPr="00CF2272">
        <w:rPr>
          <w:rFonts w:cstheme="minorHAnsi"/>
          <w:sz w:val="28"/>
          <w:szCs w:val="28"/>
        </w:rPr>
        <w:t xml:space="preserve"> human</w:t>
      </w:r>
      <w:r w:rsidR="00400844" w:rsidRPr="00CF2272">
        <w:rPr>
          <w:rFonts w:cstheme="minorHAnsi"/>
          <w:sz w:val="28"/>
          <w:szCs w:val="28"/>
        </w:rPr>
        <w:t xml:space="preserve"> </w:t>
      </w:r>
      <w:r w:rsidR="004B2FF0" w:rsidRPr="00CF2272">
        <w:rPr>
          <w:rFonts w:cstheme="minorHAnsi"/>
          <w:sz w:val="28"/>
          <w:szCs w:val="28"/>
        </w:rPr>
        <w:t>rights</w:t>
      </w:r>
      <w:r w:rsidR="002B75F7" w:rsidRPr="00CF2272">
        <w:rPr>
          <w:rFonts w:cstheme="minorHAnsi"/>
          <w:sz w:val="28"/>
          <w:szCs w:val="28"/>
        </w:rPr>
        <w:t xml:space="preserve"> </w:t>
      </w:r>
      <w:r w:rsidR="0039699C" w:rsidRPr="00CF2272">
        <w:rPr>
          <w:rFonts w:cstheme="minorHAnsi"/>
          <w:sz w:val="28"/>
          <w:szCs w:val="28"/>
        </w:rPr>
        <w:t>understood</w:t>
      </w:r>
      <w:r w:rsidR="004B2FF0" w:rsidRPr="00CF2272">
        <w:rPr>
          <w:rFonts w:cstheme="minorHAnsi"/>
          <w:sz w:val="28"/>
          <w:szCs w:val="28"/>
        </w:rPr>
        <w:t xml:space="preserve"> as the will of the sovereign</w:t>
      </w:r>
      <w:r w:rsidR="00F87454" w:rsidRPr="00CF2272">
        <w:rPr>
          <w:rFonts w:cstheme="minorHAnsi"/>
          <w:sz w:val="28"/>
          <w:szCs w:val="28"/>
        </w:rPr>
        <w:t xml:space="preserve">. </w:t>
      </w:r>
    </w:p>
    <w:p w14:paraId="5B3298B2" w14:textId="1C365095" w:rsidR="004E701E" w:rsidRPr="00CF2272" w:rsidRDefault="004E701E" w:rsidP="004E701E">
      <w:pPr>
        <w:spacing w:line="360" w:lineRule="auto"/>
        <w:rPr>
          <w:rFonts w:cstheme="minorHAnsi"/>
          <w:sz w:val="28"/>
          <w:szCs w:val="28"/>
        </w:rPr>
      </w:pPr>
      <w:r w:rsidRPr="00CF2272">
        <w:rPr>
          <w:rFonts w:cstheme="minorHAnsi"/>
          <w:sz w:val="28"/>
          <w:szCs w:val="28"/>
        </w:rPr>
        <w:t xml:space="preserve">This </w:t>
      </w:r>
      <w:r w:rsidR="00A500EE" w:rsidRPr="00CF2272">
        <w:rPr>
          <w:rFonts w:cstheme="minorHAnsi"/>
          <w:sz w:val="28"/>
          <w:szCs w:val="28"/>
        </w:rPr>
        <w:t>presentation</w:t>
      </w:r>
      <w:r w:rsidRPr="00CF2272">
        <w:rPr>
          <w:rFonts w:cstheme="minorHAnsi"/>
          <w:sz w:val="28"/>
          <w:szCs w:val="28"/>
        </w:rPr>
        <w:t xml:space="preserve"> will identify and examine an Indigenous cognitive thread in the weave of this controlling imperial imagination.  First contact elicited a critical Indigenous response that contributed inspiration for the creatively destructive ‘western’ understanding of Indigenous societies that facilitated and justified their </w:t>
      </w:r>
      <w:r w:rsidRPr="00CF2272">
        <w:rPr>
          <w:rFonts w:cstheme="minorHAnsi"/>
          <w:sz w:val="28"/>
          <w:szCs w:val="28"/>
        </w:rPr>
        <w:lastRenderedPageBreak/>
        <w:t xml:space="preserve">colonial removal. Until recently, histories of the colonial encounter commonly assumed this imperial imagination went predominantly unchallenged, the overwhelming cognitive impact of colonial settlement simply engulfed and eroded Indigenous epistemologies and self-sustaining ideas of natural law and immanent social organization. </w:t>
      </w:r>
    </w:p>
    <w:p w14:paraId="3F18DC7A" w14:textId="136F7208" w:rsidR="004E701E" w:rsidRPr="00CF2272" w:rsidRDefault="004E701E" w:rsidP="004E701E">
      <w:pPr>
        <w:spacing w:line="360" w:lineRule="auto"/>
        <w:rPr>
          <w:rFonts w:cstheme="minorHAnsi"/>
          <w:sz w:val="28"/>
          <w:szCs w:val="28"/>
        </w:rPr>
      </w:pPr>
      <w:r w:rsidRPr="00CF2272">
        <w:rPr>
          <w:rFonts w:cstheme="minorHAnsi"/>
          <w:sz w:val="28"/>
          <w:szCs w:val="28"/>
        </w:rPr>
        <w:t>But centuries of colonial engagement demonstrate “the Eurocentric legal tradition of the imposed order of a sovereign has never been able to exclude the immanent … sacred, or customary law,”</w:t>
      </w:r>
      <w:r w:rsidRPr="00CF2272">
        <w:rPr>
          <w:rStyle w:val="FootnoteReference"/>
          <w:rFonts w:cstheme="minorHAnsi"/>
          <w:sz w:val="28"/>
          <w:szCs w:val="28"/>
        </w:rPr>
        <w:footnoteReference w:id="9"/>
      </w:r>
      <w:r w:rsidRPr="00CF2272">
        <w:rPr>
          <w:rFonts w:cstheme="minorHAnsi"/>
          <w:sz w:val="28"/>
          <w:szCs w:val="28"/>
        </w:rPr>
        <w:t xml:space="preserve"> those collective cognitive social principles that supported Indigenous societies for generations before colonial contact. In fact, since the early recorded observations of imperial explorers, Indigenous intellectuals and representatives have consistently refuted Enlightenment European social paradigms </w:t>
      </w:r>
      <w:r w:rsidRPr="00CF2272">
        <w:rPr>
          <w:rFonts w:cstheme="minorHAnsi"/>
          <w:color w:val="000000" w:themeColor="text1"/>
          <w:sz w:val="28"/>
          <w:szCs w:val="28"/>
        </w:rPr>
        <w:t xml:space="preserve">of individualism </w:t>
      </w:r>
      <w:r w:rsidRPr="00CF2272">
        <w:rPr>
          <w:rFonts w:cstheme="minorHAnsi"/>
          <w:sz w:val="28"/>
          <w:szCs w:val="28"/>
        </w:rPr>
        <w:t xml:space="preserve">with arguments for immanent collective community values; respectful acknowledgement of diversity; and an </w:t>
      </w:r>
      <w:r w:rsidR="0033383E" w:rsidRPr="00CF2272">
        <w:rPr>
          <w:rFonts w:cstheme="minorHAnsi"/>
          <w:sz w:val="28"/>
          <w:szCs w:val="28"/>
        </w:rPr>
        <w:t>inherent</w:t>
      </w:r>
      <w:r w:rsidRPr="00CF2272">
        <w:rPr>
          <w:rFonts w:cstheme="minorHAnsi"/>
          <w:sz w:val="28"/>
          <w:szCs w:val="28"/>
        </w:rPr>
        <w:t xml:space="preserve"> spiritual relationship with local ecology</w:t>
      </w:r>
      <w:r w:rsidR="0033383E" w:rsidRPr="00CF2272">
        <w:rPr>
          <w:rFonts w:cstheme="minorHAnsi"/>
          <w:sz w:val="28"/>
          <w:szCs w:val="28"/>
        </w:rPr>
        <w:t>,</w:t>
      </w:r>
      <w:r w:rsidRPr="00CF2272">
        <w:rPr>
          <w:rFonts w:cstheme="minorHAnsi"/>
          <w:sz w:val="28"/>
          <w:szCs w:val="28"/>
        </w:rPr>
        <w:t xml:space="preserve"> shared through performance, language, and cognitive material expression.</w:t>
      </w:r>
      <w:r w:rsidRPr="00CF2272">
        <w:rPr>
          <w:rStyle w:val="FootnoteReference"/>
          <w:rFonts w:cstheme="minorHAnsi"/>
          <w:sz w:val="28"/>
          <w:szCs w:val="28"/>
        </w:rPr>
        <w:footnoteReference w:id="10"/>
      </w:r>
      <w:r w:rsidRPr="00CF2272">
        <w:rPr>
          <w:rFonts w:cstheme="minorHAnsi"/>
          <w:sz w:val="28"/>
          <w:szCs w:val="28"/>
        </w:rPr>
        <w:t xml:space="preserve">  This critical dialogue extended over centuries. It demonstrates colonial encounters were complex and multi-dimensional relationships, and as with all intimate and significant relationships over time, the influence was profound and reciprocal.  Inevitably, through ongoing contact, a thread of Indigenous influence coloured the weave of western </w:t>
      </w:r>
      <w:r w:rsidRPr="00CF2272">
        <w:rPr>
          <w:rFonts w:cstheme="minorHAnsi"/>
          <w:sz w:val="28"/>
          <w:szCs w:val="28"/>
        </w:rPr>
        <w:lastRenderedPageBreak/>
        <w:t xml:space="preserve">epistemologies of governance and social theory. And European social theorists borrowed </w:t>
      </w:r>
      <w:r w:rsidR="00C8238B" w:rsidRPr="00CF2272">
        <w:rPr>
          <w:rFonts w:cstheme="minorHAnsi"/>
          <w:sz w:val="28"/>
          <w:szCs w:val="28"/>
        </w:rPr>
        <w:t>freely</w:t>
      </w:r>
      <w:r w:rsidR="00401E5B" w:rsidRPr="00CF2272">
        <w:rPr>
          <w:rFonts w:cstheme="minorHAnsi"/>
          <w:sz w:val="28"/>
          <w:szCs w:val="28"/>
        </w:rPr>
        <w:t>,</w:t>
      </w:r>
      <w:r w:rsidRPr="00CF2272">
        <w:rPr>
          <w:rFonts w:cstheme="minorHAnsi"/>
          <w:sz w:val="28"/>
          <w:szCs w:val="28"/>
        </w:rPr>
        <w:t xml:space="preserve"> if not admittedly, from the fabric of Indigenous social thought. This Indigenous epistemological influence can be found in our institutions of governance, in our mechanisms of social representation, and our public spaces of culture, heritage, and social memory. </w:t>
      </w:r>
      <w:r w:rsidR="00401E5B" w:rsidRPr="00CF2272">
        <w:rPr>
          <w:rFonts w:cstheme="minorHAnsi"/>
          <w:sz w:val="28"/>
          <w:szCs w:val="28"/>
        </w:rPr>
        <w:t>It is t</w:t>
      </w:r>
      <w:r w:rsidR="00D75BDB" w:rsidRPr="00CF2272">
        <w:rPr>
          <w:rFonts w:cstheme="minorHAnsi"/>
          <w:sz w:val="28"/>
          <w:szCs w:val="28"/>
        </w:rPr>
        <w:t>hese</w:t>
      </w:r>
      <w:r w:rsidR="00401E5B" w:rsidRPr="00CF2272">
        <w:rPr>
          <w:rFonts w:cstheme="minorHAnsi"/>
          <w:sz w:val="28"/>
          <w:szCs w:val="28"/>
        </w:rPr>
        <w:t xml:space="preserve"> same Indigenous epistemological </w:t>
      </w:r>
      <w:r w:rsidR="00D75BDB" w:rsidRPr="00CF2272">
        <w:rPr>
          <w:rFonts w:cstheme="minorHAnsi"/>
          <w:sz w:val="28"/>
          <w:szCs w:val="28"/>
        </w:rPr>
        <w:t>lifeways that we must acknowledge and revive to</w:t>
      </w:r>
      <w:r w:rsidR="00075525" w:rsidRPr="00CF2272">
        <w:rPr>
          <w:rFonts w:cstheme="minorHAnsi"/>
          <w:sz w:val="28"/>
          <w:szCs w:val="28"/>
        </w:rPr>
        <w:t xml:space="preserve"> bring the international views on human rights into</w:t>
      </w:r>
      <w:r w:rsidR="007661D2" w:rsidRPr="00CF2272">
        <w:rPr>
          <w:rFonts w:cstheme="minorHAnsi"/>
          <w:sz w:val="28"/>
          <w:szCs w:val="28"/>
        </w:rPr>
        <w:t xml:space="preserve"> </w:t>
      </w:r>
      <w:r w:rsidR="0068416B" w:rsidRPr="00CF2272">
        <w:rPr>
          <w:rFonts w:cstheme="minorHAnsi"/>
          <w:sz w:val="28"/>
          <w:szCs w:val="28"/>
        </w:rPr>
        <w:t xml:space="preserve">a meaningful relationship with Indigenous societies. </w:t>
      </w:r>
    </w:p>
    <w:p w14:paraId="23C1C1C0" w14:textId="77777777" w:rsidR="004E701E" w:rsidRPr="00CF2272" w:rsidRDefault="004E701E" w:rsidP="007B5399">
      <w:pPr>
        <w:spacing w:line="360" w:lineRule="auto"/>
        <w:rPr>
          <w:rFonts w:cstheme="minorHAnsi"/>
          <w:sz w:val="28"/>
          <w:szCs w:val="28"/>
        </w:rPr>
      </w:pPr>
    </w:p>
    <w:p w14:paraId="30305C79" w14:textId="3E4B28B8" w:rsidR="0080026B" w:rsidRPr="00CF2272" w:rsidRDefault="0080026B" w:rsidP="007B5399">
      <w:pPr>
        <w:spacing w:line="360" w:lineRule="auto"/>
        <w:rPr>
          <w:rFonts w:cstheme="minorHAnsi"/>
          <w:b/>
          <w:bCs/>
          <w:sz w:val="28"/>
          <w:szCs w:val="28"/>
          <w:u w:val="single"/>
        </w:rPr>
      </w:pPr>
      <w:r w:rsidRPr="00CF2272">
        <w:rPr>
          <w:rFonts w:cstheme="minorHAnsi"/>
          <w:b/>
          <w:bCs/>
          <w:sz w:val="28"/>
          <w:szCs w:val="28"/>
          <w:u w:val="single"/>
        </w:rPr>
        <w:t>Slide #2 Presentation Overview</w:t>
      </w:r>
    </w:p>
    <w:p w14:paraId="08AFC354" w14:textId="7B03EDD1" w:rsidR="0043782A" w:rsidRPr="00CF2272" w:rsidRDefault="00DF156C" w:rsidP="007B5399">
      <w:pPr>
        <w:spacing w:line="360" w:lineRule="auto"/>
        <w:rPr>
          <w:rFonts w:cstheme="minorHAnsi"/>
          <w:sz w:val="28"/>
          <w:szCs w:val="28"/>
        </w:rPr>
      </w:pPr>
      <w:r w:rsidRPr="00CF2272">
        <w:rPr>
          <w:rFonts w:cstheme="minorHAnsi"/>
          <w:sz w:val="28"/>
          <w:szCs w:val="28"/>
        </w:rPr>
        <w:t>In recognition of the conference</w:t>
      </w:r>
      <w:r w:rsidR="00E61BB4" w:rsidRPr="00CF2272">
        <w:rPr>
          <w:rFonts w:cstheme="minorHAnsi"/>
          <w:sz w:val="28"/>
          <w:szCs w:val="28"/>
        </w:rPr>
        <w:t xml:space="preserve"> theme, that</w:t>
      </w:r>
      <w:r w:rsidR="00EE071E" w:rsidRPr="00CF2272">
        <w:rPr>
          <w:rFonts w:cstheme="minorHAnsi"/>
          <w:sz w:val="28"/>
          <w:szCs w:val="28"/>
        </w:rPr>
        <w:t xml:space="preserve"> ar</w:t>
      </w:r>
      <w:r w:rsidR="00B02C33" w:rsidRPr="00CF2272">
        <w:rPr>
          <w:rFonts w:cstheme="minorHAnsi"/>
          <w:sz w:val="28"/>
          <w:szCs w:val="28"/>
        </w:rPr>
        <w:t>chives are contested assertions of authority,</w:t>
      </w:r>
      <w:r w:rsidR="00360B00" w:rsidRPr="00CF2272">
        <w:rPr>
          <w:rFonts w:cstheme="minorHAnsi"/>
          <w:sz w:val="28"/>
          <w:szCs w:val="28"/>
        </w:rPr>
        <w:t xml:space="preserve"> and</w:t>
      </w:r>
      <w:r w:rsidR="00971493" w:rsidRPr="00CF2272">
        <w:rPr>
          <w:rFonts w:cstheme="minorHAnsi"/>
          <w:sz w:val="28"/>
          <w:szCs w:val="28"/>
        </w:rPr>
        <w:t xml:space="preserve"> that</w:t>
      </w:r>
      <w:r w:rsidR="00360B00" w:rsidRPr="00CF2272">
        <w:rPr>
          <w:rFonts w:cstheme="minorHAnsi"/>
          <w:sz w:val="28"/>
          <w:szCs w:val="28"/>
        </w:rPr>
        <w:t xml:space="preserve"> shared, displaced and disputed archival heritage is a matter of global </w:t>
      </w:r>
      <w:proofErr w:type="gramStart"/>
      <w:r w:rsidR="00360B00" w:rsidRPr="00CF2272">
        <w:rPr>
          <w:rFonts w:cstheme="minorHAnsi"/>
          <w:sz w:val="28"/>
          <w:szCs w:val="28"/>
        </w:rPr>
        <w:t xml:space="preserve">concern, </w:t>
      </w:r>
      <w:r w:rsidRPr="00CF2272">
        <w:rPr>
          <w:rFonts w:cstheme="minorHAnsi"/>
          <w:sz w:val="28"/>
          <w:szCs w:val="28"/>
        </w:rPr>
        <w:t xml:space="preserve"> I</w:t>
      </w:r>
      <w:proofErr w:type="gramEnd"/>
      <w:r w:rsidRPr="00CF2272">
        <w:rPr>
          <w:rFonts w:cstheme="minorHAnsi"/>
          <w:sz w:val="28"/>
          <w:szCs w:val="28"/>
        </w:rPr>
        <w:t xml:space="preserve"> shall </w:t>
      </w:r>
      <w:r w:rsidR="00DA1DAF" w:rsidRPr="00CF2272">
        <w:rPr>
          <w:rFonts w:cstheme="minorHAnsi"/>
          <w:sz w:val="28"/>
          <w:szCs w:val="28"/>
        </w:rPr>
        <w:t>consider some examples from the colonial history of</w:t>
      </w:r>
      <w:r w:rsidR="00F77B4A" w:rsidRPr="00CF2272">
        <w:rPr>
          <w:rFonts w:cstheme="minorHAnsi"/>
          <w:sz w:val="28"/>
          <w:szCs w:val="28"/>
        </w:rPr>
        <w:t xml:space="preserve"> the</w:t>
      </w:r>
      <w:r w:rsidR="00DA1DAF" w:rsidRPr="00CF2272">
        <w:rPr>
          <w:rFonts w:cstheme="minorHAnsi"/>
          <w:sz w:val="28"/>
          <w:szCs w:val="28"/>
        </w:rPr>
        <w:t xml:space="preserve"> Indigenous peoples</w:t>
      </w:r>
      <w:r w:rsidR="00F77B4A" w:rsidRPr="00CF2272">
        <w:rPr>
          <w:rFonts w:cstheme="minorHAnsi"/>
          <w:sz w:val="28"/>
          <w:szCs w:val="28"/>
        </w:rPr>
        <w:t xml:space="preserve"> of Canada</w:t>
      </w:r>
      <w:r w:rsidR="00DA1DAF" w:rsidRPr="00CF2272">
        <w:rPr>
          <w:rFonts w:cstheme="minorHAnsi"/>
          <w:sz w:val="28"/>
          <w:szCs w:val="28"/>
        </w:rPr>
        <w:t xml:space="preserve"> </w:t>
      </w:r>
      <w:r w:rsidR="00F77F11" w:rsidRPr="00CF2272">
        <w:rPr>
          <w:rFonts w:cstheme="minorHAnsi"/>
          <w:sz w:val="28"/>
          <w:szCs w:val="28"/>
        </w:rPr>
        <w:t>including</w:t>
      </w:r>
      <w:r w:rsidRPr="00CF2272">
        <w:rPr>
          <w:rFonts w:cstheme="minorHAnsi"/>
          <w:sz w:val="28"/>
          <w:szCs w:val="28"/>
        </w:rPr>
        <w:t xml:space="preserve"> the history </w:t>
      </w:r>
      <w:r w:rsidR="00F77F11" w:rsidRPr="00CF2272">
        <w:rPr>
          <w:rFonts w:cstheme="minorHAnsi"/>
          <w:sz w:val="28"/>
          <w:szCs w:val="28"/>
        </w:rPr>
        <w:t xml:space="preserve">and legacy </w:t>
      </w:r>
      <w:r w:rsidRPr="00CF2272">
        <w:rPr>
          <w:rFonts w:cstheme="minorHAnsi"/>
          <w:sz w:val="28"/>
          <w:szCs w:val="28"/>
        </w:rPr>
        <w:t xml:space="preserve">of the residential school system in Canada. </w:t>
      </w:r>
      <w:r w:rsidR="00183B2D" w:rsidRPr="00CF2272">
        <w:rPr>
          <w:rFonts w:cstheme="minorHAnsi"/>
          <w:sz w:val="28"/>
          <w:szCs w:val="28"/>
        </w:rPr>
        <w:t xml:space="preserve">My examples will highlight </w:t>
      </w:r>
      <w:r w:rsidR="006D5B2D" w:rsidRPr="00CF2272">
        <w:rPr>
          <w:rFonts w:cstheme="minorHAnsi"/>
          <w:sz w:val="28"/>
          <w:szCs w:val="28"/>
        </w:rPr>
        <w:t xml:space="preserve">periods when juridical authority </w:t>
      </w:r>
      <w:r w:rsidR="009F6E7B" w:rsidRPr="00CF2272">
        <w:rPr>
          <w:rFonts w:cstheme="minorHAnsi"/>
          <w:sz w:val="28"/>
          <w:szCs w:val="28"/>
        </w:rPr>
        <w:t xml:space="preserve">asserted its </w:t>
      </w:r>
      <w:r w:rsidR="00F21656" w:rsidRPr="00CF2272">
        <w:rPr>
          <w:rFonts w:cstheme="minorHAnsi"/>
          <w:sz w:val="28"/>
          <w:szCs w:val="28"/>
        </w:rPr>
        <w:t>jurisdiction</w:t>
      </w:r>
      <w:r w:rsidR="009F6E7B" w:rsidRPr="00CF2272">
        <w:rPr>
          <w:rFonts w:cstheme="minorHAnsi"/>
          <w:sz w:val="28"/>
          <w:szCs w:val="28"/>
        </w:rPr>
        <w:t xml:space="preserve"> with archival </w:t>
      </w:r>
      <w:r w:rsidR="006F0DED" w:rsidRPr="00CF2272">
        <w:rPr>
          <w:rFonts w:cstheme="minorHAnsi"/>
          <w:sz w:val="28"/>
          <w:szCs w:val="28"/>
        </w:rPr>
        <w:t>documentation</w:t>
      </w:r>
      <w:r w:rsidR="00A1549A" w:rsidRPr="00CF2272">
        <w:rPr>
          <w:rFonts w:cstheme="minorHAnsi"/>
          <w:sz w:val="28"/>
          <w:szCs w:val="28"/>
        </w:rPr>
        <w:t xml:space="preserve">; and </w:t>
      </w:r>
      <w:r w:rsidR="003B037C" w:rsidRPr="00CF2272">
        <w:rPr>
          <w:rFonts w:cstheme="minorHAnsi"/>
          <w:sz w:val="28"/>
          <w:szCs w:val="28"/>
        </w:rPr>
        <w:t xml:space="preserve">Indigenous </w:t>
      </w:r>
      <w:proofErr w:type="gramStart"/>
      <w:r w:rsidR="003B037C" w:rsidRPr="00CF2272">
        <w:rPr>
          <w:rFonts w:cstheme="minorHAnsi"/>
          <w:sz w:val="28"/>
          <w:szCs w:val="28"/>
        </w:rPr>
        <w:t>peoples</w:t>
      </w:r>
      <w:r w:rsidR="00922CE6" w:rsidRPr="00CF2272">
        <w:rPr>
          <w:rFonts w:cstheme="minorHAnsi"/>
          <w:sz w:val="28"/>
          <w:szCs w:val="28"/>
        </w:rPr>
        <w:t>’</w:t>
      </w:r>
      <w:proofErr w:type="gramEnd"/>
      <w:r w:rsidR="00922CE6" w:rsidRPr="00CF2272">
        <w:rPr>
          <w:rFonts w:cstheme="minorHAnsi"/>
          <w:sz w:val="28"/>
          <w:szCs w:val="28"/>
        </w:rPr>
        <w:t xml:space="preserve"> responded with </w:t>
      </w:r>
      <w:r w:rsidR="00F77F11" w:rsidRPr="00CF2272">
        <w:rPr>
          <w:rFonts w:cstheme="minorHAnsi"/>
          <w:sz w:val="28"/>
          <w:szCs w:val="28"/>
        </w:rPr>
        <w:t xml:space="preserve">expressions of </w:t>
      </w:r>
      <w:r w:rsidR="001D50A6" w:rsidRPr="00CF2272">
        <w:rPr>
          <w:rFonts w:cstheme="minorHAnsi"/>
          <w:sz w:val="28"/>
          <w:szCs w:val="28"/>
        </w:rPr>
        <w:t xml:space="preserve">their customary laws of </w:t>
      </w:r>
      <w:r w:rsidR="007738AE" w:rsidRPr="00CF2272">
        <w:rPr>
          <w:rFonts w:cstheme="minorHAnsi"/>
          <w:sz w:val="28"/>
          <w:szCs w:val="28"/>
        </w:rPr>
        <w:t xml:space="preserve">immanent order. </w:t>
      </w:r>
      <w:r w:rsidR="003B037C" w:rsidRPr="00CF2272">
        <w:rPr>
          <w:rFonts w:cstheme="minorHAnsi"/>
          <w:sz w:val="28"/>
          <w:szCs w:val="28"/>
        </w:rPr>
        <w:t xml:space="preserve"> </w:t>
      </w:r>
    </w:p>
    <w:p w14:paraId="50B27C50" w14:textId="528B2B64" w:rsidR="00DF156C" w:rsidRPr="00CF2272" w:rsidRDefault="003442F9" w:rsidP="007B5399">
      <w:pPr>
        <w:spacing w:line="360" w:lineRule="auto"/>
        <w:rPr>
          <w:rFonts w:cstheme="minorHAnsi"/>
          <w:b/>
          <w:bCs/>
          <w:sz w:val="28"/>
          <w:szCs w:val="28"/>
          <w:u w:val="single"/>
          <w:lang w:val="en-CA"/>
        </w:rPr>
      </w:pPr>
      <w:r w:rsidRPr="00CF2272">
        <w:rPr>
          <w:rFonts w:cstheme="minorHAnsi"/>
          <w:b/>
          <w:bCs/>
          <w:sz w:val="28"/>
          <w:szCs w:val="28"/>
          <w:u w:val="single"/>
          <w:lang w:val="en-CA"/>
        </w:rPr>
        <w:t xml:space="preserve">Slide #3 </w:t>
      </w:r>
    </w:p>
    <w:p w14:paraId="53624B61" w14:textId="69D8BAB2" w:rsidR="00C43B03" w:rsidRPr="00CF2272" w:rsidRDefault="00B243B5" w:rsidP="00C43B03">
      <w:pPr>
        <w:spacing w:line="360" w:lineRule="auto"/>
        <w:rPr>
          <w:rFonts w:cstheme="minorHAnsi"/>
          <w:i/>
          <w:sz w:val="28"/>
          <w:szCs w:val="28"/>
        </w:rPr>
      </w:pPr>
      <w:r w:rsidRPr="00CF2272">
        <w:rPr>
          <w:rFonts w:cstheme="minorHAnsi"/>
          <w:sz w:val="28"/>
          <w:szCs w:val="28"/>
          <w:lang w:val="en-CA"/>
        </w:rPr>
        <w:t xml:space="preserve">The </w:t>
      </w:r>
      <w:r w:rsidR="00F77807" w:rsidRPr="00CF2272">
        <w:rPr>
          <w:rFonts w:cstheme="minorHAnsi"/>
          <w:sz w:val="28"/>
          <w:szCs w:val="28"/>
          <w:lang w:val="en-CA"/>
        </w:rPr>
        <w:t>context of this ongoing interaction begins with</w:t>
      </w:r>
      <w:r w:rsidR="00CE0274" w:rsidRPr="00CF2272">
        <w:rPr>
          <w:rFonts w:cstheme="minorHAnsi"/>
          <w:sz w:val="28"/>
          <w:szCs w:val="28"/>
          <w:lang w:val="en-CA"/>
        </w:rPr>
        <w:t xml:space="preserve"> </w:t>
      </w:r>
      <w:r w:rsidR="002A66A9" w:rsidRPr="00CF2272">
        <w:rPr>
          <w:rFonts w:cstheme="minorHAnsi"/>
          <w:sz w:val="28"/>
          <w:szCs w:val="28"/>
          <w:lang w:val="en-CA"/>
        </w:rPr>
        <w:t xml:space="preserve">British contact with non-Christian societies in what has been characterized as </w:t>
      </w:r>
      <w:r w:rsidR="0095041A" w:rsidRPr="00CF2272">
        <w:rPr>
          <w:rFonts w:cstheme="minorHAnsi"/>
          <w:sz w:val="28"/>
          <w:szCs w:val="28"/>
          <w:lang w:val="en-CA"/>
        </w:rPr>
        <w:t xml:space="preserve">a kind of residual medieval and personalized approach to </w:t>
      </w:r>
      <w:r w:rsidR="0004639C" w:rsidRPr="00CF2272">
        <w:rPr>
          <w:rFonts w:cstheme="minorHAnsi"/>
          <w:sz w:val="28"/>
          <w:szCs w:val="28"/>
          <w:lang w:val="en-CA"/>
        </w:rPr>
        <w:t xml:space="preserve">sovereign authority. </w:t>
      </w:r>
      <w:r w:rsidR="009E3C15" w:rsidRPr="00CF2272">
        <w:rPr>
          <w:rFonts w:cstheme="minorHAnsi"/>
          <w:sz w:val="28"/>
          <w:szCs w:val="28"/>
          <w:lang w:val="en-CA"/>
        </w:rPr>
        <w:t xml:space="preserve">The British acknowledged </w:t>
      </w:r>
      <w:r w:rsidR="00B63715" w:rsidRPr="00CF2272">
        <w:rPr>
          <w:rFonts w:cstheme="minorHAnsi"/>
          <w:sz w:val="28"/>
          <w:szCs w:val="28"/>
          <w:lang w:val="en-CA"/>
        </w:rPr>
        <w:t xml:space="preserve">Indigenous </w:t>
      </w:r>
      <w:r w:rsidR="00D715AD" w:rsidRPr="00CF2272">
        <w:rPr>
          <w:rFonts w:cstheme="minorHAnsi"/>
          <w:sz w:val="28"/>
          <w:szCs w:val="28"/>
          <w:lang w:val="en-CA"/>
        </w:rPr>
        <w:t xml:space="preserve">Identity, albeit as a subject of the Crown. </w:t>
      </w:r>
      <w:r w:rsidR="008612F0" w:rsidRPr="00CF2272">
        <w:rPr>
          <w:rFonts w:cstheme="minorHAnsi"/>
          <w:sz w:val="28"/>
          <w:szCs w:val="28"/>
          <w:lang w:val="en-CA"/>
        </w:rPr>
        <w:t>This recognition was expressed in treaties, sovereign protocols and proclamations.</w:t>
      </w:r>
      <w:r w:rsidR="00803AD6" w:rsidRPr="00CF2272">
        <w:rPr>
          <w:rFonts w:cstheme="minorHAnsi"/>
          <w:sz w:val="28"/>
          <w:szCs w:val="28"/>
          <w:lang w:val="en-CA"/>
        </w:rPr>
        <w:t xml:space="preserve"> Since this period, </w:t>
      </w:r>
      <w:r w:rsidR="00C43B03" w:rsidRPr="00CF2272">
        <w:rPr>
          <w:rFonts w:cstheme="minorHAnsi"/>
          <w:sz w:val="28"/>
          <w:szCs w:val="28"/>
        </w:rPr>
        <w:t xml:space="preserve">Indigenous communities have consistently argued for recognition of their inherent rights as Indigenous peoples, but only recently that we see colonial legal </w:t>
      </w:r>
      <w:r w:rsidR="00C43B03" w:rsidRPr="00CF2272">
        <w:rPr>
          <w:rFonts w:cstheme="minorHAnsi"/>
          <w:sz w:val="28"/>
          <w:szCs w:val="28"/>
        </w:rPr>
        <w:lastRenderedPageBreak/>
        <w:t>instruments such as commissions offer a</w:t>
      </w:r>
      <w:r w:rsidR="00803AD6" w:rsidRPr="00CF2272">
        <w:rPr>
          <w:rFonts w:cstheme="minorHAnsi"/>
          <w:sz w:val="28"/>
          <w:szCs w:val="28"/>
        </w:rPr>
        <w:t xml:space="preserve"> renewed</w:t>
      </w:r>
      <w:r w:rsidR="00C43B03" w:rsidRPr="00CF2272">
        <w:rPr>
          <w:rFonts w:cstheme="minorHAnsi"/>
          <w:sz w:val="28"/>
          <w:szCs w:val="28"/>
        </w:rPr>
        <w:t xml:space="preserve"> cognitive space for the Indigenous perspective.  These legal instruments reflect “a national narrative with a profound sense of mistrust and disagreement about the</w:t>
      </w:r>
      <w:r w:rsidR="00C43B03" w:rsidRPr="00CF2272">
        <w:rPr>
          <w:rFonts w:cstheme="minorHAnsi"/>
          <w:i/>
          <w:sz w:val="28"/>
          <w:szCs w:val="28"/>
        </w:rPr>
        <w:t xml:space="preserve"> </w:t>
      </w:r>
      <w:r w:rsidR="00C43B03" w:rsidRPr="00CF2272">
        <w:rPr>
          <w:rFonts w:cstheme="minorHAnsi"/>
          <w:sz w:val="28"/>
          <w:szCs w:val="28"/>
        </w:rPr>
        <w:t xml:space="preserve">founding of the modern state and the legitimacy of its current authority.” </w:t>
      </w:r>
    </w:p>
    <w:p w14:paraId="7CF29E1A" w14:textId="08C97855" w:rsidR="00C43B03" w:rsidRPr="00CF2272" w:rsidRDefault="00C43B03" w:rsidP="00C43B03">
      <w:pPr>
        <w:spacing w:line="360" w:lineRule="auto"/>
        <w:rPr>
          <w:rFonts w:cstheme="minorHAnsi"/>
          <w:i/>
          <w:sz w:val="28"/>
          <w:szCs w:val="28"/>
        </w:rPr>
      </w:pPr>
      <w:r w:rsidRPr="00CF2272">
        <w:rPr>
          <w:rFonts w:cstheme="minorHAnsi"/>
          <w:sz w:val="28"/>
          <w:szCs w:val="28"/>
        </w:rPr>
        <w:t xml:space="preserve">This concept of respectful engagement has been a consistent claim of Indigenous campaigns for rights since first contact. Inter-societal recognition and accommodation across communities of equals has been a traditional Indigenous governance model. Political order in Indigenous societies has emerged from collective and respectful consensus, “cultivating relationships of spiritual kinship, linking individuals, communities, and the natural world, not from the coercive will of the sovereign.” As legal scholar Mark Walters, observes, to maintain a sense of ordered freedom within these societies requires that individual communities honour the sacred duties of care and respect that ties of </w:t>
      </w:r>
      <w:proofErr w:type="gramStart"/>
      <w:r w:rsidRPr="00CF2272">
        <w:rPr>
          <w:rFonts w:cstheme="minorHAnsi"/>
          <w:sz w:val="28"/>
          <w:szCs w:val="28"/>
        </w:rPr>
        <w:t>spiritual-kinship</w:t>
      </w:r>
      <w:proofErr w:type="gramEnd"/>
      <w:r w:rsidRPr="00CF2272">
        <w:rPr>
          <w:rFonts w:cstheme="minorHAnsi"/>
          <w:sz w:val="28"/>
          <w:szCs w:val="28"/>
        </w:rPr>
        <w:t xml:space="preserve"> imply.  These are traditions of reconciliation that were embodied in the original treaties created from the mid-17</w:t>
      </w:r>
      <w:r w:rsidRPr="00CF2272">
        <w:rPr>
          <w:rFonts w:cstheme="minorHAnsi"/>
          <w:sz w:val="28"/>
          <w:szCs w:val="28"/>
          <w:vertAlign w:val="superscript"/>
        </w:rPr>
        <w:t>th</w:t>
      </w:r>
      <w:r w:rsidRPr="00CF2272">
        <w:rPr>
          <w:rFonts w:cstheme="minorHAnsi"/>
          <w:sz w:val="28"/>
          <w:szCs w:val="28"/>
        </w:rPr>
        <w:t xml:space="preserve"> to early, 19</w:t>
      </w:r>
      <w:r w:rsidRPr="00CF2272">
        <w:rPr>
          <w:rFonts w:cstheme="minorHAnsi"/>
          <w:sz w:val="28"/>
          <w:szCs w:val="28"/>
          <w:vertAlign w:val="superscript"/>
        </w:rPr>
        <w:t>th</w:t>
      </w:r>
      <w:r w:rsidRPr="00CF2272">
        <w:rPr>
          <w:rFonts w:cstheme="minorHAnsi"/>
          <w:sz w:val="28"/>
          <w:szCs w:val="28"/>
        </w:rPr>
        <w:t xml:space="preserve"> century.   I would argue that our contemporary TRC is returning to </w:t>
      </w:r>
      <w:r w:rsidR="007C2602" w:rsidRPr="00CF2272">
        <w:rPr>
          <w:rFonts w:cstheme="minorHAnsi"/>
          <w:sz w:val="28"/>
          <w:szCs w:val="28"/>
        </w:rPr>
        <w:t xml:space="preserve">these </w:t>
      </w:r>
      <w:r w:rsidRPr="00CF2272">
        <w:rPr>
          <w:rFonts w:cstheme="minorHAnsi"/>
          <w:sz w:val="28"/>
          <w:szCs w:val="28"/>
        </w:rPr>
        <w:t>Indigenous traditions of governance; of inter-societal accommodation and negotiated self-determination</w:t>
      </w:r>
      <w:r w:rsidRPr="00CF2272">
        <w:rPr>
          <w:rFonts w:cstheme="minorHAnsi"/>
          <w:i/>
          <w:sz w:val="28"/>
          <w:szCs w:val="28"/>
        </w:rPr>
        <w:t xml:space="preserve">. </w:t>
      </w:r>
    </w:p>
    <w:p w14:paraId="02A851CC" w14:textId="77777777" w:rsidR="00C43B03" w:rsidRPr="00CF2272" w:rsidRDefault="00C43B03" w:rsidP="00C43B03">
      <w:pPr>
        <w:spacing w:line="360" w:lineRule="auto"/>
        <w:rPr>
          <w:rFonts w:cstheme="minorHAnsi"/>
          <w:sz w:val="28"/>
          <w:szCs w:val="28"/>
        </w:rPr>
      </w:pPr>
      <w:r w:rsidRPr="00CF2272">
        <w:rPr>
          <w:rFonts w:cstheme="minorHAnsi"/>
          <w:sz w:val="28"/>
          <w:szCs w:val="28"/>
        </w:rPr>
        <w:t xml:space="preserve">The example most often cited on this concept of respectful inter-societal relations is the exchange of two row Wampum belts at Niagara in 1764 to enshrine the sovereign Indigenous rights recognized in the Royal Proclamation of 1763. </w:t>
      </w:r>
    </w:p>
    <w:p w14:paraId="2D3C4B1E" w14:textId="6B4A603B" w:rsidR="00C43B03" w:rsidRPr="00CF2272" w:rsidRDefault="00C43B03" w:rsidP="007C2602">
      <w:pPr>
        <w:spacing w:line="360" w:lineRule="auto"/>
        <w:ind w:left="720"/>
        <w:rPr>
          <w:rFonts w:cstheme="minorHAnsi"/>
          <w:sz w:val="28"/>
          <w:szCs w:val="28"/>
        </w:rPr>
      </w:pPr>
      <w:r w:rsidRPr="00CF2272">
        <w:rPr>
          <w:rFonts w:cstheme="minorHAnsi"/>
          <w:sz w:val="28"/>
          <w:szCs w:val="28"/>
        </w:rPr>
        <w:t xml:space="preserve">First Nations regarded the agreement, represented by the Proclamation and the two-row wampum, as one that affirmed their powers of self-determination …it demonstrates the foundation-building principles of peace, friendship, and respect agreed to between the parties. </w:t>
      </w:r>
    </w:p>
    <w:p w14:paraId="7D1A975C" w14:textId="77777777" w:rsidR="00C43B03" w:rsidRPr="00CF2272" w:rsidRDefault="00C43B03" w:rsidP="00C43B03">
      <w:pPr>
        <w:widowControl w:val="0"/>
        <w:autoSpaceDE w:val="0"/>
        <w:autoSpaceDN w:val="0"/>
        <w:adjustRightInd w:val="0"/>
        <w:spacing w:line="360" w:lineRule="auto"/>
        <w:rPr>
          <w:rFonts w:cstheme="minorHAnsi"/>
          <w:sz w:val="28"/>
          <w:szCs w:val="28"/>
        </w:rPr>
      </w:pPr>
      <w:r w:rsidRPr="00CF2272">
        <w:rPr>
          <w:rFonts w:cstheme="minorHAnsi"/>
          <w:sz w:val="28"/>
          <w:szCs w:val="28"/>
        </w:rPr>
        <w:lastRenderedPageBreak/>
        <w:t xml:space="preserve">TRC Commissioner Murray Sinclair has </w:t>
      </w:r>
      <w:proofErr w:type="gramStart"/>
      <w:r w:rsidRPr="00CF2272">
        <w:rPr>
          <w:rFonts w:cstheme="minorHAnsi"/>
          <w:sz w:val="28"/>
          <w:szCs w:val="28"/>
        </w:rPr>
        <w:t>made reference</w:t>
      </w:r>
      <w:proofErr w:type="gramEnd"/>
      <w:r w:rsidRPr="00CF2272">
        <w:rPr>
          <w:rFonts w:cstheme="minorHAnsi"/>
          <w:sz w:val="28"/>
          <w:szCs w:val="28"/>
        </w:rPr>
        <w:t xml:space="preserve"> to the lost opportunity of the Proclamation and the promise of self-determination captured in the Niagara ceremony of 1794 and the Wampum belt created there. The NCTR call to action number 45 recommended a renewed Proclamation with the social protocol of the wampum to cast a new post-colonial model for Indigenous – settler relationships.  The belts, no less than the proclamations</w:t>
      </w:r>
      <w:r w:rsidRPr="00CF2272">
        <w:rPr>
          <w:rFonts w:cstheme="minorHAnsi"/>
          <w:i/>
          <w:sz w:val="28"/>
          <w:szCs w:val="28"/>
        </w:rPr>
        <w:t xml:space="preserve">, </w:t>
      </w:r>
      <w:r w:rsidRPr="00CF2272">
        <w:rPr>
          <w:rFonts w:cstheme="minorHAnsi"/>
          <w:sz w:val="28"/>
          <w:szCs w:val="28"/>
        </w:rPr>
        <w:t xml:space="preserve">represent materials of social memory. Whether we choose to call them archival is more of a question of culture. </w:t>
      </w:r>
    </w:p>
    <w:p w14:paraId="6627981C" w14:textId="77777777" w:rsidR="008F1F17" w:rsidRPr="00CF2272" w:rsidRDefault="008F1F17" w:rsidP="00C43B03">
      <w:pPr>
        <w:spacing w:line="360" w:lineRule="auto"/>
        <w:rPr>
          <w:rFonts w:cstheme="minorHAnsi"/>
          <w:b/>
          <w:bCs/>
          <w:sz w:val="28"/>
          <w:szCs w:val="28"/>
          <w:u w:val="single"/>
        </w:rPr>
      </w:pPr>
      <w:r w:rsidRPr="00CF2272">
        <w:rPr>
          <w:rFonts w:cstheme="minorHAnsi"/>
          <w:b/>
          <w:bCs/>
          <w:sz w:val="28"/>
          <w:szCs w:val="28"/>
          <w:u w:val="single"/>
        </w:rPr>
        <w:t xml:space="preserve">Slide #4 </w:t>
      </w:r>
    </w:p>
    <w:p w14:paraId="002D9FFC" w14:textId="144996B7" w:rsidR="00C43B03" w:rsidRPr="00CF2272" w:rsidRDefault="00C43B03" w:rsidP="00C43B03">
      <w:pPr>
        <w:spacing w:line="360" w:lineRule="auto"/>
        <w:rPr>
          <w:rFonts w:cstheme="minorHAnsi"/>
          <w:sz w:val="28"/>
          <w:szCs w:val="28"/>
        </w:rPr>
      </w:pPr>
      <w:r w:rsidRPr="00CF2272">
        <w:rPr>
          <w:rFonts w:cstheme="minorHAnsi"/>
          <w:sz w:val="28"/>
          <w:szCs w:val="28"/>
        </w:rPr>
        <w:t>By the second half of the 19</w:t>
      </w:r>
      <w:r w:rsidRPr="00CF2272">
        <w:rPr>
          <w:rFonts w:cstheme="minorHAnsi"/>
          <w:sz w:val="28"/>
          <w:szCs w:val="28"/>
          <w:vertAlign w:val="superscript"/>
        </w:rPr>
        <w:t>th</w:t>
      </w:r>
      <w:r w:rsidRPr="00CF2272">
        <w:rPr>
          <w:rFonts w:cstheme="minorHAnsi"/>
          <w:sz w:val="28"/>
          <w:szCs w:val="28"/>
        </w:rPr>
        <w:t xml:space="preserve"> century the Crown had abandoned these relationships of mutual esteem.  Common law produced a positivized doctrine of Crown sovereignty that shaped the political relationships with Indigenous peoples. The law became more of a blunt force instrument for Indigenous dispossession. Proof of sovereignty became documentary evidence of ownership of land. Pathways of Indigenous self-determination became limited to the stifled arguments of colonial common law. </w:t>
      </w:r>
    </w:p>
    <w:p w14:paraId="533093BE" w14:textId="4B1E7622" w:rsidR="003442F9" w:rsidRPr="00CF2272" w:rsidRDefault="00C43B03" w:rsidP="00C43B03">
      <w:pPr>
        <w:spacing w:line="360" w:lineRule="auto"/>
        <w:rPr>
          <w:rFonts w:cstheme="minorHAnsi"/>
          <w:b/>
          <w:bCs/>
          <w:sz w:val="28"/>
          <w:szCs w:val="28"/>
          <w:u w:val="single"/>
          <w:lang w:val="en-CA"/>
        </w:rPr>
      </w:pPr>
      <w:r w:rsidRPr="00CF2272">
        <w:rPr>
          <w:rFonts w:cstheme="minorHAnsi"/>
          <w:sz w:val="28"/>
          <w:szCs w:val="28"/>
        </w:rPr>
        <w:t>The Cowichan petition of 1909 is a model document of this era.  Thought to be the first official document to make the legal argument for Aboriginal rights and title written in legal formality, the Cowichan Petition was written by lawyers Clark and O’Meara in 1909 under the direction of Cowichan Elders from Vancouver Island. The document – sent to the British Colonial Office, the BC Government, and Ottawa – influenced the Nisga’a Petition of 1913, which eventually led to the vital 1973 Calder Supreme Court decision. That decision is generally thought to be the dawn of the modern era of Indigenous activism on rights and title in Canada. There was no other time before the 19</w:t>
      </w:r>
      <w:r w:rsidR="00397B8E">
        <w:rPr>
          <w:rFonts w:cstheme="minorHAnsi"/>
          <w:sz w:val="28"/>
          <w:szCs w:val="28"/>
        </w:rPr>
        <w:t>7</w:t>
      </w:r>
      <w:r w:rsidRPr="00CF2272">
        <w:rPr>
          <w:rFonts w:cstheme="minorHAnsi"/>
          <w:sz w:val="28"/>
          <w:szCs w:val="28"/>
        </w:rPr>
        <w:t xml:space="preserve">0s that Indigenous people were closer to </w:t>
      </w:r>
      <w:r w:rsidRPr="00CF2272">
        <w:rPr>
          <w:rFonts w:cstheme="minorHAnsi"/>
          <w:sz w:val="28"/>
          <w:szCs w:val="28"/>
        </w:rPr>
        <w:lastRenderedPageBreak/>
        <w:t>forcing Canadian courts to adjudicate the land question than the two years between the presentation of the Cowichan Petition in the Spring of 1909 and the Dominion Election of 1911.</w:t>
      </w:r>
    </w:p>
    <w:p w14:paraId="79208143" w14:textId="55F2A4CC" w:rsidR="003442F9" w:rsidRPr="00CF2272" w:rsidRDefault="00551338" w:rsidP="007B5399">
      <w:pPr>
        <w:spacing w:line="360" w:lineRule="auto"/>
        <w:rPr>
          <w:rFonts w:cstheme="minorHAnsi"/>
          <w:b/>
          <w:bCs/>
          <w:sz w:val="28"/>
          <w:szCs w:val="28"/>
          <w:u w:val="single"/>
          <w:lang w:val="en-CA"/>
        </w:rPr>
      </w:pPr>
      <w:r w:rsidRPr="00CF2272">
        <w:rPr>
          <w:rFonts w:cstheme="minorHAnsi"/>
          <w:b/>
          <w:bCs/>
          <w:sz w:val="28"/>
          <w:szCs w:val="28"/>
          <w:u w:val="single"/>
          <w:lang w:val="en-CA"/>
        </w:rPr>
        <w:t xml:space="preserve">Slide #5 </w:t>
      </w:r>
    </w:p>
    <w:p w14:paraId="651CAE35" w14:textId="060B9D77" w:rsidR="00551338" w:rsidRPr="00CF2272" w:rsidRDefault="00551338" w:rsidP="007B5399">
      <w:pPr>
        <w:spacing w:line="360" w:lineRule="auto"/>
        <w:rPr>
          <w:rFonts w:cstheme="minorHAnsi"/>
          <w:sz w:val="28"/>
          <w:szCs w:val="28"/>
          <w:lang w:val="en-CA"/>
        </w:rPr>
      </w:pPr>
      <w:r w:rsidRPr="00CF2272">
        <w:rPr>
          <w:rFonts w:cstheme="minorHAnsi"/>
          <w:sz w:val="28"/>
          <w:szCs w:val="28"/>
          <w:lang w:val="en-CA"/>
        </w:rPr>
        <w:t xml:space="preserve">The </w:t>
      </w:r>
      <w:r w:rsidR="004D604A" w:rsidRPr="00CF2272">
        <w:rPr>
          <w:rFonts w:cstheme="minorHAnsi"/>
          <w:sz w:val="28"/>
          <w:szCs w:val="28"/>
          <w:lang w:val="en-CA"/>
        </w:rPr>
        <w:t xml:space="preserve">Indigenous </w:t>
      </w:r>
      <w:r w:rsidRPr="00CF2272">
        <w:rPr>
          <w:rFonts w:cstheme="minorHAnsi"/>
          <w:sz w:val="28"/>
          <w:szCs w:val="28"/>
          <w:lang w:val="en-CA"/>
        </w:rPr>
        <w:t>residential school system</w:t>
      </w:r>
      <w:r w:rsidR="004D604A" w:rsidRPr="00CF2272">
        <w:rPr>
          <w:rFonts w:cstheme="minorHAnsi"/>
          <w:sz w:val="28"/>
          <w:szCs w:val="28"/>
          <w:lang w:val="en-CA"/>
        </w:rPr>
        <w:t xml:space="preserve">, or IRS, </w:t>
      </w:r>
      <w:r w:rsidRPr="00CF2272">
        <w:rPr>
          <w:rFonts w:cstheme="minorHAnsi"/>
          <w:sz w:val="28"/>
          <w:szCs w:val="28"/>
          <w:lang w:val="en-CA"/>
        </w:rPr>
        <w:t xml:space="preserve">is another product of </w:t>
      </w:r>
      <w:r w:rsidR="00EA585F" w:rsidRPr="00CF2272">
        <w:rPr>
          <w:rFonts w:cstheme="minorHAnsi"/>
          <w:sz w:val="28"/>
          <w:szCs w:val="28"/>
          <w:lang w:val="en-CA"/>
        </w:rPr>
        <w:t>th</w:t>
      </w:r>
      <w:r w:rsidR="00940763" w:rsidRPr="00CF2272">
        <w:rPr>
          <w:rFonts w:cstheme="minorHAnsi"/>
          <w:sz w:val="28"/>
          <w:szCs w:val="28"/>
          <w:lang w:val="en-CA"/>
        </w:rPr>
        <w:t>ese colonial empires of Uniformity. Begun in the 1880s and modeled after examples in other juris</w:t>
      </w:r>
      <w:r w:rsidR="00695246" w:rsidRPr="00CF2272">
        <w:rPr>
          <w:rFonts w:cstheme="minorHAnsi"/>
          <w:sz w:val="28"/>
          <w:szCs w:val="28"/>
          <w:lang w:val="en-CA"/>
        </w:rPr>
        <w:t xml:space="preserve">dictions including France and the U.S., </w:t>
      </w:r>
      <w:r w:rsidR="004D604A" w:rsidRPr="00CF2272">
        <w:rPr>
          <w:rFonts w:cstheme="minorHAnsi"/>
          <w:sz w:val="28"/>
          <w:szCs w:val="28"/>
          <w:lang w:val="en-CA"/>
        </w:rPr>
        <w:t xml:space="preserve">the goal of the IRS was the forceful removal of </w:t>
      </w:r>
      <w:r w:rsidR="00907509" w:rsidRPr="00CF2272">
        <w:rPr>
          <w:rFonts w:cstheme="minorHAnsi"/>
          <w:sz w:val="28"/>
          <w:szCs w:val="28"/>
          <w:lang w:val="en-CA"/>
        </w:rPr>
        <w:t xml:space="preserve">children from their homes to be isolated in residential schools to be completely assimilated into </w:t>
      </w:r>
      <w:r w:rsidR="007D1019" w:rsidRPr="00CF2272">
        <w:rPr>
          <w:rFonts w:cstheme="minorHAnsi"/>
          <w:sz w:val="28"/>
          <w:szCs w:val="28"/>
          <w:lang w:val="en-CA"/>
        </w:rPr>
        <w:t xml:space="preserve">the culture of European Settlers. </w:t>
      </w:r>
      <w:r w:rsidR="00A63AAD" w:rsidRPr="00CF2272">
        <w:rPr>
          <w:rFonts w:cstheme="minorHAnsi"/>
          <w:sz w:val="28"/>
          <w:szCs w:val="28"/>
          <w:lang w:val="en-CA"/>
        </w:rPr>
        <w:t>This period from the turn of the 20</w:t>
      </w:r>
      <w:r w:rsidR="00A63AAD" w:rsidRPr="00CF2272">
        <w:rPr>
          <w:rFonts w:cstheme="minorHAnsi"/>
          <w:sz w:val="28"/>
          <w:szCs w:val="28"/>
          <w:vertAlign w:val="superscript"/>
          <w:lang w:val="en-CA"/>
        </w:rPr>
        <w:t>th</w:t>
      </w:r>
      <w:r w:rsidR="00A63AAD" w:rsidRPr="00CF2272">
        <w:rPr>
          <w:rFonts w:cstheme="minorHAnsi"/>
          <w:sz w:val="28"/>
          <w:szCs w:val="28"/>
          <w:lang w:val="en-CA"/>
        </w:rPr>
        <w:t xml:space="preserve"> century </w:t>
      </w:r>
      <w:r w:rsidR="0019437C" w:rsidRPr="00CF2272">
        <w:rPr>
          <w:rFonts w:cstheme="minorHAnsi"/>
          <w:sz w:val="28"/>
          <w:szCs w:val="28"/>
          <w:lang w:val="en-CA"/>
        </w:rPr>
        <w:t xml:space="preserve">until the last quarter of the century I have termed the “Great Assimilation.” </w:t>
      </w:r>
      <w:r w:rsidR="007D1019" w:rsidRPr="00CF2272">
        <w:rPr>
          <w:rFonts w:cstheme="minorHAnsi"/>
          <w:sz w:val="28"/>
          <w:szCs w:val="28"/>
          <w:lang w:val="en-CA"/>
        </w:rPr>
        <w:t xml:space="preserve">There is no limit to the </w:t>
      </w:r>
      <w:r w:rsidR="00E2581E" w:rsidRPr="00CF2272">
        <w:rPr>
          <w:rFonts w:cstheme="minorHAnsi"/>
          <w:sz w:val="28"/>
          <w:szCs w:val="28"/>
          <w:lang w:val="en-CA"/>
        </w:rPr>
        <w:t xml:space="preserve">disheartening </w:t>
      </w:r>
      <w:r w:rsidR="007D1019" w:rsidRPr="00CF2272">
        <w:rPr>
          <w:rFonts w:cstheme="minorHAnsi"/>
          <w:sz w:val="28"/>
          <w:szCs w:val="28"/>
          <w:lang w:val="en-CA"/>
        </w:rPr>
        <w:t>examples available,</w:t>
      </w:r>
      <w:r w:rsidR="00E2581E" w:rsidRPr="00CF2272">
        <w:rPr>
          <w:rFonts w:cstheme="minorHAnsi"/>
          <w:sz w:val="28"/>
          <w:szCs w:val="28"/>
          <w:lang w:val="en-CA"/>
        </w:rPr>
        <w:t xml:space="preserve"> but</w:t>
      </w:r>
      <w:r w:rsidR="007D1019" w:rsidRPr="00CF2272">
        <w:rPr>
          <w:rFonts w:cstheme="minorHAnsi"/>
          <w:sz w:val="28"/>
          <w:szCs w:val="28"/>
          <w:lang w:val="en-CA"/>
        </w:rPr>
        <w:t xml:space="preserve"> </w:t>
      </w:r>
      <w:r w:rsidR="00523F91" w:rsidRPr="00CF2272">
        <w:rPr>
          <w:rFonts w:cstheme="minorHAnsi"/>
          <w:sz w:val="28"/>
          <w:szCs w:val="28"/>
          <w:lang w:val="en-CA"/>
        </w:rPr>
        <w:t xml:space="preserve">the </w:t>
      </w:r>
      <w:r w:rsidR="00EA4F43" w:rsidRPr="00CF2272">
        <w:rPr>
          <w:rFonts w:cstheme="minorHAnsi"/>
          <w:sz w:val="28"/>
          <w:szCs w:val="28"/>
          <w:lang w:val="en-CA"/>
        </w:rPr>
        <w:t xml:space="preserve">positive doctrine of </w:t>
      </w:r>
      <w:r w:rsidR="007678C6" w:rsidRPr="00CF2272">
        <w:rPr>
          <w:rFonts w:cstheme="minorHAnsi"/>
          <w:sz w:val="28"/>
          <w:szCs w:val="28"/>
          <w:lang w:val="en-CA"/>
        </w:rPr>
        <w:t>sovereignty legitimized the erasu</w:t>
      </w:r>
      <w:r w:rsidR="00E2581E" w:rsidRPr="00CF2272">
        <w:rPr>
          <w:rFonts w:cstheme="minorHAnsi"/>
          <w:sz w:val="28"/>
          <w:szCs w:val="28"/>
          <w:lang w:val="en-CA"/>
        </w:rPr>
        <w:t>re of the identity of Indig</w:t>
      </w:r>
      <w:r w:rsidR="00E80670" w:rsidRPr="00CF2272">
        <w:rPr>
          <w:rFonts w:cstheme="minorHAnsi"/>
          <w:sz w:val="28"/>
          <w:szCs w:val="28"/>
          <w:lang w:val="en-CA"/>
        </w:rPr>
        <w:t>enous children, the result wa</w:t>
      </w:r>
      <w:r w:rsidR="00396092" w:rsidRPr="00CF2272">
        <w:rPr>
          <w:rFonts w:cstheme="minorHAnsi"/>
          <w:sz w:val="28"/>
          <w:szCs w:val="28"/>
          <w:lang w:val="en-CA"/>
        </w:rPr>
        <w:t xml:space="preserve">s genocide. </w:t>
      </w:r>
      <w:r w:rsidR="007101D6" w:rsidRPr="00CF2272">
        <w:rPr>
          <w:rFonts w:cstheme="minorHAnsi"/>
          <w:sz w:val="28"/>
          <w:szCs w:val="28"/>
          <w:lang w:val="en-CA"/>
        </w:rPr>
        <w:t xml:space="preserve">The disclaimer I am showing is the caution the NCTR employs </w:t>
      </w:r>
      <w:r w:rsidR="00A67F9E" w:rsidRPr="00CF2272">
        <w:rPr>
          <w:rFonts w:cstheme="minorHAnsi"/>
          <w:sz w:val="28"/>
          <w:szCs w:val="28"/>
          <w:lang w:val="en-CA"/>
        </w:rPr>
        <w:t>for all disturbing images on our web</w:t>
      </w:r>
      <w:r w:rsidR="00E811B2" w:rsidRPr="00CF2272">
        <w:rPr>
          <w:rFonts w:cstheme="minorHAnsi"/>
          <w:sz w:val="28"/>
          <w:szCs w:val="28"/>
          <w:lang w:val="en-CA"/>
        </w:rPr>
        <w:t xml:space="preserve"> site</w:t>
      </w:r>
      <w:r w:rsidR="00A67F9E" w:rsidRPr="00CF2272">
        <w:rPr>
          <w:rFonts w:cstheme="minorHAnsi"/>
          <w:sz w:val="28"/>
          <w:szCs w:val="28"/>
          <w:lang w:val="en-CA"/>
        </w:rPr>
        <w:t xml:space="preserve">. I caution the audience this is </w:t>
      </w:r>
      <w:r w:rsidR="00E811B2" w:rsidRPr="00CF2272">
        <w:rPr>
          <w:rFonts w:cstheme="minorHAnsi"/>
          <w:sz w:val="28"/>
          <w:szCs w:val="28"/>
          <w:lang w:val="en-CA"/>
        </w:rPr>
        <w:t xml:space="preserve">an unavoidably disturbing image of an unsettling story. </w:t>
      </w:r>
    </w:p>
    <w:p w14:paraId="166F00A8" w14:textId="4CCBF9AB" w:rsidR="00396092" w:rsidRPr="00CF2272" w:rsidRDefault="00E811B2" w:rsidP="007B5399">
      <w:pPr>
        <w:spacing w:line="360" w:lineRule="auto"/>
        <w:rPr>
          <w:rFonts w:cstheme="minorHAnsi"/>
          <w:b/>
          <w:bCs/>
          <w:sz w:val="28"/>
          <w:szCs w:val="28"/>
          <w:u w:val="single"/>
          <w:lang w:val="en-CA"/>
        </w:rPr>
      </w:pPr>
      <w:r w:rsidRPr="00CF2272">
        <w:rPr>
          <w:rFonts w:cstheme="minorHAnsi"/>
          <w:b/>
          <w:bCs/>
          <w:sz w:val="28"/>
          <w:szCs w:val="28"/>
          <w:u w:val="single"/>
          <w:lang w:val="en-CA"/>
        </w:rPr>
        <w:t xml:space="preserve">Slide #6 </w:t>
      </w:r>
    </w:p>
    <w:p w14:paraId="567C57CA" w14:textId="7A5E17D8" w:rsidR="00E811B2" w:rsidRPr="00CF2272" w:rsidRDefault="003D1A04" w:rsidP="007B5399">
      <w:pPr>
        <w:spacing w:line="360" w:lineRule="auto"/>
        <w:rPr>
          <w:rFonts w:cstheme="minorHAnsi"/>
          <w:sz w:val="28"/>
          <w:szCs w:val="28"/>
          <w:lang w:val="en-CA"/>
        </w:rPr>
      </w:pPr>
      <w:r w:rsidRPr="00CF2272">
        <w:rPr>
          <w:rFonts w:cstheme="minorHAnsi"/>
          <w:sz w:val="28"/>
          <w:szCs w:val="28"/>
          <w:lang w:val="en-CA"/>
        </w:rPr>
        <w:t xml:space="preserve">This is a photo a </w:t>
      </w:r>
      <w:r w:rsidR="00BD4B21" w:rsidRPr="00CF2272">
        <w:rPr>
          <w:rFonts w:cstheme="minorHAnsi"/>
          <w:sz w:val="28"/>
          <w:szCs w:val="28"/>
          <w:lang w:val="en-CA"/>
        </w:rPr>
        <w:t xml:space="preserve">of </w:t>
      </w:r>
      <w:r w:rsidRPr="00CF2272">
        <w:rPr>
          <w:rFonts w:cstheme="minorHAnsi"/>
          <w:sz w:val="28"/>
          <w:szCs w:val="28"/>
          <w:lang w:val="en-CA"/>
        </w:rPr>
        <w:t xml:space="preserve">gravesite near an IRS known as St. Joseph’s or alternatively </w:t>
      </w:r>
      <w:proofErr w:type="spellStart"/>
      <w:r w:rsidRPr="00CF2272">
        <w:rPr>
          <w:rFonts w:cstheme="minorHAnsi"/>
          <w:sz w:val="28"/>
          <w:szCs w:val="28"/>
          <w:lang w:val="en-CA"/>
        </w:rPr>
        <w:t>Dunbow</w:t>
      </w:r>
      <w:proofErr w:type="spellEnd"/>
      <w:r w:rsidRPr="00CF2272">
        <w:rPr>
          <w:rFonts w:cstheme="minorHAnsi"/>
          <w:sz w:val="28"/>
          <w:szCs w:val="28"/>
          <w:lang w:val="en-CA"/>
        </w:rPr>
        <w:t xml:space="preserve">. </w:t>
      </w:r>
      <w:r w:rsidR="004D6A71" w:rsidRPr="00CF2272">
        <w:rPr>
          <w:rFonts w:cstheme="minorHAnsi"/>
          <w:sz w:val="28"/>
          <w:szCs w:val="28"/>
          <w:lang w:val="en-CA"/>
        </w:rPr>
        <w:t xml:space="preserve">It depicts 27 women and girls attending to </w:t>
      </w:r>
      <w:r w:rsidR="00F07542">
        <w:rPr>
          <w:rFonts w:cstheme="minorHAnsi"/>
          <w:sz w:val="28"/>
          <w:szCs w:val="28"/>
          <w:lang w:val="en-CA"/>
        </w:rPr>
        <w:t xml:space="preserve">a </w:t>
      </w:r>
      <w:r w:rsidR="004D6A71" w:rsidRPr="00CF2272">
        <w:rPr>
          <w:rFonts w:cstheme="minorHAnsi"/>
          <w:sz w:val="28"/>
          <w:szCs w:val="28"/>
          <w:lang w:val="en-CA"/>
        </w:rPr>
        <w:t xml:space="preserve">graveyard with </w:t>
      </w:r>
      <w:r w:rsidR="00BE63AA" w:rsidRPr="00CF2272">
        <w:rPr>
          <w:rFonts w:cstheme="minorHAnsi"/>
          <w:sz w:val="28"/>
          <w:szCs w:val="28"/>
          <w:lang w:val="en-CA"/>
        </w:rPr>
        <w:t xml:space="preserve">crosses and gardening equipment. </w:t>
      </w:r>
      <w:r w:rsidR="00414FD9" w:rsidRPr="00CF2272">
        <w:rPr>
          <w:rFonts w:cstheme="minorHAnsi"/>
          <w:sz w:val="28"/>
          <w:szCs w:val="28"/>
          <w:lang w:val="en-CA"/>
        </w:rPr>
        <w:t>It is a posed photo</w:t>
      </w:r>
      <w:r w:rsidR="00C653F5" w:rsidRPr="00CF2272">
        <w:rPr>
          <w:rFonts w:cstheme="minorHAnsi"/>
          <w:sz w:val="28"/>
          <w:szCs w:val="28"/>
          <w:lang w:val="en-CA"/>
        </w:rPr>
        <w:t>, the girls are all wearing summer hats</w:t>
      </w:r>
      <w:r w:rsidR="00D61F3F" w:rsidRPr="00CF2272">
        <w:rPr>
          <w:rFonts w:cstheme="minorHAnsi"/>
          <w:sz w:val="28"/>
          <w:szCs w:val="28"/>
          <w:lang w:val="en-CA"/>
        </w:rPr>
        <w:t>, they are facing the camera</w:t>
      </w:r>
      <w:r w:rsidR="00C653F5" w:rsidRPr="00CF2272">
        <w:rPr>
          <w:rFonts w:cstheme="minorHAnsi"/>
          <w:sz w:val="28"/>
          <w:szCs w:val="28"/>
          <w:lang w:val="en-CA"/>
        </w:rPr>
        <w:t xml:space="preserve"> and have not </w:t>
      </w:r>
      <w:r w:rsidR="00BD4B21" w:rsidRPr="00CF2272">
        <w:rPr>
          <w:rFonts w:cstheme="minorHAnsi"/>
          <w:sz w:val="28"/>
          <w:szCs w:val="28"/>
          <w:lang w:val="en-CA"/>
        </w:rPr>
        <w:t xml:space="preserve">yet </w:t>
      </w:r>
      <w:r w:rsidR="00C653F5" w:rsidRPr="00CF2272">
        <w:rPr>
          <w:rFonts w:cstheme="minorHAnsi"/>
          <w:sz w:val="28"/>
          <w:szCs w:val="28"/>
          <w:lang w:val="en-CA"/>
        </w:rPr>
        <w:t>been at work</w:t>
      </w:r>
      <w:r w:rsidR="00BD4B21" w:rsidRPr="00CF2272">
        <w:rPr>
          <w:rFonts w:cstheme="minorHAnsi"/>
          <w:sz w:val="28"/>
          <w:szCs w:val="28"/>
          <w:lang w:val="en-CA"/>
        </w:rPr>
        <w:t xml:space="preserve"> in the gravesite. That would come later. </w:t>
      </w:r>
      <w:r w:rsidR="00570FD6" w:rsidRPr="00CF2272">
        <w:rPr>
          <w:rFonts w:cstheme="minorHAnsi"/>
          <w:sz w:val="28"/>
          <w:szCs w:val="28"/>
          <w:lang w:val="en-CA"/>
        </w:rPr>
        <w:t xml:space="preserve">This type of photo was common for its time. In their constant effort to convince </w:t>
      </w:r>
      <w:r w:rsidR="00F07542">
        <w:rPr>
          <w:rFonts w:cstheme="minorHAnsi"/>
          <w:sz w:val="28"/>
          <w:szCs w:val="28"/>
          <w:lang w:val="en-CA"/>
        </w:rPr>
        <w:t xml:space="preserve">the federal government to fund </w:t>
      </w:r>
      <w:r w:rsidR="007F6E61">
        <w:rPr>
          <w:rFonts w:cstheme="minorHAnsi"/>
          <w:sz w:val="28"/>
          <w:szCs w:val="28"/>
          <w:lang w:val="en-CA"/>
        </w:rPr>
        <w:t xml:space="preserve">their IRS </w:t>
      </w:r>
      <w:r w:rsidR="001D5315">
        <w:rPr>
          <w:rFonts w:cstheme="minorHAnsi"/>
          <w:sz w:val="28"/>
          <w:szCs w:val="28"/>
          <w:lang w:val="en-CA"/>
        </w:rPr>
        <w:t xml:space="preserve">work, religious orders such as the Catholic Grey Nuns who operated this school, </w:t>
      </w:r>
      <w:r w:rsidR="00F15FF1">
        <w:rPr>
          <w:rFonts w:cstheme="minorHAnsi"/>
          <w:sz w:val="28"/>
          <w:szCs w:val="28"/>
          <w:lang w:val="en-CA"/>
        </w:rPr>
        <w:t xml:space="preserve">would regularly </w:t>
      </w:r>
      <w:r w:rsidR="00F15FF1">
        <w:rPr>
          <w:rFonts w:cstheme="minorHAnsi"/>
          <w:sz w:val="28"/>
          <w:szCs w:val="28"/>
          <w:lang w:val="en-CA"/>
        </w:rPr>
        <w:lastRenderedPageBreak/>
        <w:t xml:space="preserve">accompany their quarterly reports and correspondence with images giving proof of the thriving </w:t>
      </w:r>
      <w:r w:rsidR="00982DC9">
        <w:rPr>
          <w:rFonts w:cstheme="minorHAnsi"/>
          <w:sz w:val="28"/>
          <w:szCs w:val="28"/>
          <w:lang w:val="en-CA"/>
        </w:rPr>
        <w:t xml:space="preserve">and worthwhile endeavor of residential schools. </w:t>
      </w:r>
    </w:p>
    <w:p w14:paraId="6A9D3421" w14:textId="685AD293" w:rsidR="000A63EC" w:rsidRPr="00CF2272" w:rsidRDefault="000A63EC" w:rsidP="00B2608E">
      <w:pPr>
        <w:tabs>
          <w:tab w:val="left" w:pos="720"/>
        </w:tabs>
        <w:spacing w:line="360" w:lineRule="auto"/>
        <w:rPr>
          <w:rFonts w:cstheme="minorHAnsi"/>
          <w:sz w:val="28"/>
          <w:szCs w:val="28"/>
        </w:rPr>
      </w:pPr>
      <w:r w:rsidRPr="00CF2272">
        <w:rPr>
          <w:rFonts w:cstheme="minorHAnsi"/>
          <w:sz w:val="28"/>
          <w:szCs w:val="28"/>
        </w:rPr>
        <w:t xml:space="preserve">The </w:t>
      </w:r>
      <w:proofErr w:type="spellStart"/>
      <w:r w:rsidRPr="00CF2272">
        <w:rPr>
          <w:rFonts w:cstheme="minorHAnsi"/>
          <w:sz w:val="28"/>
          <w:szCs w:val="28"/>
        </w:rPr>
        <w:t>Dunbow</w:t>
      </w:r>
      <w:proofErr w:type="spellEnd"/>
      <w:r w:rsidRPr="00CF2272">
        <w:rPr>
          <w:rFonts w:cstheme="minorHAnsi"/>
          <w:sz w:val="28"/>
          <w:szCs w:val="28"/>
        </w:rPr>
        <w:t xml:space="preserve"> remains fell into a no-man’s land in terms of government jurisdiction: too young to be archaeological, too old to have been recorded as a cemetery</w:t>
      </w:r>
      <w:r w:rsidR="00CD6CF2">
        <w:rPr>
          <w:rFonts w:cstheme="minorHAnsi"/>
          <w:sz w:val="28"/>
          <w:szCs w:val="28"/>
        </w:rPr>
        <w:t xml:space="preserve"> in the young province of Alberta</w:t>
      </w:r>
      <w:r w:rsidRPr="00CF2272">
        <w:rPr>
          <w:rFonts w:cstheme="minorHAnsi"/>
          <w:sz w:val="28"/>
          <w:szCs w:val="28"/>
        </w:rPr>
        <w:t>. No government department was immediately prepared to step forward and assume responsibility for the disposition of these remains.</w:t>
      </w:r>
    </w:p>
    <w:p w14:paraId="5B657078" w14:textId="786FBA7C" w:rsidR="00372FC9" w:rsidRPr="00955803" w:rsidRDefault="00D90E7B" w:rsidP="00B2608E">
      <w:pPr>
        <w:spacing w:line="360" w:lineRule="auto"/>
        <w:rPr>
          <w:rFonts w:cstheme="minorHAnsi"/>
          <w:sz w:val="28"/>
          <w:szCs w:val="28"/>
        </w:rPr>
      </w:pPr>
      <w:r w:rsidRPr="00955803">
        <w:rPr>
          <w:rFonts w:cstheme="minorHAnsi"/>
          <w:sz w:val="28"/>
          <w:szCs w:val="28"/>
        </w:rPr>
        <w:t>Continuing with the theme of contested</w:t>
      </w:r>
      <w:r w:rsidR="00411480">
        <w:rPr>
          <w:rFonts w:cstheme="minorHAnsi"/>
          <w:sz w:val="28"/>
          <w:szCs w:val="28"/>
        </w:rPr>
        <w:t xml:space="preserve"> and </w:t>
      </w:r>
      <w:r w:rsidR="001E6EDF">
        <w:rPr>
          <w:rFonts w:cstheme="minorHAnsi"/>
          <w:sz w:val="28"/>
          <w:szCs w:val="28"/>
        </w:rPr>
        <w:t xml:space="preserve">unsettled </w:t>
      </w:r>
      <w:proofErr w:type="gramStart"/>
      <w:r w:rsidR="001E6EDF">
        <w:rPr>
          <w:rFonts w:cstheme="minorHAnsi"/>
          <w:sz w:val="28"/>
          <w:szCs w:val="28"/>
        </w:rPr>
        <w:t xml:space="preserve">archives, </w:t>
      </w:r>
      <w:r w:rsidRPr="00955803">
        <w:rPr>
          <w:rFonts w:cstheme="minorHAnsi"/>
          <w:sz w:val="28"/>
          <w:szCs w:val="28"/>
        </w:rPr>
        <w:t xml:space="preserve"> </w:t>
      </w:r>
      <w:r w:rsidR="00372FC9" w:rsidRPr="00955803">
        <w:rPr>
          <w:rFonts w:cstheme="minorHAnsi"/>
          <w:sz w:val="28"/>
          <w:szCs w:val="28"/>
        </w:rPr>
        <w:t>I</w:t>
      </w:r>
      <w:proofErr w:type="gramEnd"/>
      <w:r w:rsidR="00372FC9" w:rsidRPr="00955803">
        <w:rPr>
          <w:rFonts w:cstheme="minorHAnsi"/>
          <w:sz w:val="28"/>
          <w:szCs w:val="28"/>
        </w:rPr>
        <w:t xml:space="preserve"> wish to offer one example of</w:t>
      </w:r>
      <w:r w:rsidR="0082508E">
        <w:rPr>
          <w:rFonts w:cstheme="minorHAnsi"/>
          <w:sz w:val="28"/>
          <w:szCs w:val="28"/>
        </w:rPr>
        <w:t xml:space="preserve"> the </w:t>
      </w:r>
      <w:r w:rsidR="00372FC9" w:rsidRPr="00955803">
        <w:rPr>
          <w:rFonts w:cstheme="minorHAnsi"/>
          <w:sz w:val="28"/>
          <w:szCs w:val="28"/>
        </w:rPr>
        <w:t xml:space="preserve">challenges of tracking down historical records with </w:t>
      </w:r>
      <w:r w:rsidR="0082508E">
        <w:rPr>
          <w:rFonts w:cstheme="minorHAnsi"/>
          <w:sz w:val="28"/>
          <w:szCs w:val="28"/>
        </w:rPr>
        <w:t xml:space="preserve">the </w:t>
      </w:r>
      <w:r w:rsidR="00372FC9" w:rsidRPr="00955803">
        <w:rPr>
          <w:rFonts w:cstheme="minorHAnsi"/>
          <w:sz w:val="28"/>
          <w:szCs w:val="28"/>
        </w:rPr>
        <w:t>inconsistent recordkeeping</w:t>
      </w:r>
      <w:r w:rsidR="0082508E">
        <w:rPr>
          <w:rFonts w:cstheme="minorHAnsi"/>
          <w:sz w:val="28"/>
          <w:szCs w:val="28"/>
        </w:rPr>
        <w:t xml:space="preserve"> of the IRS. </w:t>
      </w:r>
    </w:p>
    <w:p w14:paraId="5D989AC9" w14:textId="77777777" w:rsidR="00372FC9" w:rsidRPr="00955803" w:rsidRDefault="00372FC9" w:rsidP="00B2608E">
      <w:pPr>
        <w:spacing w:line="360" w:lineRule="auto"/>
        <w:rPr>
          <w:rFonts w:cstheme="minorHAnsi"/>
          <w:sz w:val="28"/>
          <w:szCs w:val="28"/>
        </w:rPr>
      </w:pPr>
      <w:r w:rsidRPr="00955803">
        <w:rPr>
          <w:rFonts w:cstheme="minorHAnsi"/>
          <w:color w:val="000000"/>
          <w:sz w:val="28"/>
          <w:szCs w:val="28"/>
        </w:rPr>
        <w:t xml:space="preserve">This is a letter in Indian Affairs RG 10 files, from Dr. T.J. Orford, Indian Agent, Moose Factory to P. Langlois, Principal, Les </w:t>
      </w:r>
      <w:proofErr w:type="spellStart"/>
      <w:r w:rsidRPr="00955803">
        <w:rPr>
          <w:rFonts w:cstheme="minorHAnsi"/>
          <w:color w:val="000000"/>
          <w:sz w:val="28"/>
          <w:szCs w:val="28"/>
        </w:rPr>
        <w:t>Missionnaires</w:t>
      </w:r>
      <w:proofErr w:type="spellEnd"/>
      <w:r w:rsidRPr="00955803">
        <w:rPr>
          <w:rFonts w:cstheme="minorHAnsi"/>
          <w:color w:val="000000"/>
          <w:sz w:val="28"/>
          <w:szCs w:val="28"/>
        </w:rPr>
        <w:t xml:space="preserve"> </w:t>
      </w:r>
      <w:proofErr w:type="spellStart"/>
      <w:r w:rsidRPr="00955803">
        <w:rPr>
          <w:rFonts w:cstheme="minorHAnsi"/>
          <w:color w:val="000000"/>
          <w:sz w:val="28"/>
          <w:szCs w:val="28"/>
        </w:rPr>
        <w:t>Oblats</w:t>
      </w:r>
      <w:proofErr w:type="spellEnd"/>
      <w:r w:rsidRPr="00955803">
        <w:rPr>
          <w:rFonts w:cstheme="minorHAnsi"/>
          <w:color w:val="000000"/>
          <w:sz w:val="28"/>
          <w:szCs w:val="28"/>
        </w:rPr>
        <w:t xml:space="preserve"> de Marie Immaculée, École-pensionnat </w:t>
      </w:r>
      <w:proofErr w:type="spellStart"/>
      <w:r w:rsidRPr="00955803">
        <w:rPr>
          <w:rFonts w:cstheme="minorHAnsi"/>
          <w:color w:val="000000"/>
          <w:sz w:val="28"/>
          <w:szCs w:val="28"/>
        </w:rPr>
        <w:t>Indien</w:t>
      </w:r>
      <w:proofErr w:type="spellEnd"/>
      <w:r w:rsidRPr="00955803">
        <w:rPr>
          <w:rFonts w:cstheme="minorHAnsi"/>
          <w:color w:val="000000"/>
          <w:sz w:val="28"/>
          <w:szCs w:val="28"/>
        </w:rPr>
        <w:t xml:space="preserve"> </w:t>
      </w:r>
      <w:proofErr w:type="spellStart"/>
      <w:r w:rsidRPr="00955803">
        <w:rPr>
          <w:rFonts w:cstheme="minorHAnsi"/>
          <w:color w:val="000000"/>
          <w:sz w:val="28"/>
          <w:szCs w:val="28"/>
        </w:rPr>
        <w:t>d’Albany</w:t>
      </w:r>
      <w:proofErr w:type="spellEnd"/>
      <w:r w:rsidRPr="00955803">
        <w:rPr>
          <w:rFonts w:cstheme="minorHAnsi"/>
          <w:color w:val="000000"/>
          <w:sz w:val="28"/>
          <w:szCs w:val="28"/>
        </w:rPr>
        <w:t xml:space="preserve">, January 19, 1942, </w:t>
      </w:r>
      <w:r w:rsidRPr="00955803">
        <w:rPr>
          <w:rFonts w:cstheme="minorHAnsi"/>
          <w:sz w:val="28"/>
          <w:szCs w:val="28"/>
        </w:rPr>
        <w:t xml:space="preserve"> </w:t>
      </w:r>
    </w:p>
    <w:p w14:paraId="42770023" w14:textId="77777777" w:rsidR="00372FC9" w:rsidRPr="00955803" w:rsidRDefault="00372FC9" w:rsidP="00372FC9">
      <w:pPr>
        <w:pStyle w:val="ListParagraph"/>
        <w:ind w:left="0"/>
        <w:rPr>
          <w:rFonts w:cstheme="minorHAnsi"/>
          <w:sz w:val="28"/>
          <w:szCs w:val="28"/>
        </w:rPr>
      </w:pPr>
      <w:r w:rsidRPr="00955803">
        <w:rPr>
          <w:rFonts w:cstheme="minorHAnsi"/>
          <w:sz w:val="28"/>
          <w:szCs w:val="28"/>
          <w:u w:val="single"/>
        </w:rPr>
        <w:t xml:space="preserve">It reads: </w:t>
      </w:r>
    </w:p>
    <w:p w14:paraId="2CD8D88F" w14:textId="3201F897" w:rsidR="00372FC9" w:rsidRPr="0082508E" w:rsidRDefault="00372FC9" w:rsidP="0082508E">
      <w:pPr>
        <w:rPr>
          <w:rFonts w:cstheme="minorHAnsi"/>
          <w:sz w:val="28"/>
          <w:szCs w:val="28"/>
          <w:lang w:val="en-CA"/>
        </w:rPr>
      </w:pPr>
      <w:r w:rsidRPr="00CF2272">
        <w:rPr>
          <w:rFonts w:cstheme="minorHAnsi"/>
          <w:sz w:val="28"/>
          <w:szCs w:val="28"/>
        </w:rPr>
        <w:t>The Department has just received the September quarter return of the Albany Indian Residential School… The names of the pupils numbered as follows were shown on the June quarter return but do not appear on the September return, although no application has been received for their discharge.</w:t>
      </w:r>
    </w:p>
    <w:p w14:paraId="15F8AB7C" w14:textId="77777777" w:rsidR="00372FC9" w:rsidRPr="00CF2272" w:rsidRDefault="00372FC9" w:rsidP="00372FC9">
      <w:pPr>
        <w:rPr>
          <w:rFonts w:cstheme="minorHAnsi"/>
          <w:b/>
          <w:bCs/>
          <w:sz w:val="28"/>
          <w:szCs w:val="28"/>
          <w:u w:val="single"/>
        </w:rPr>
      </w:pPr>
      <w:r w:rsidRPr="00CF2272">
        <w:rPr>
          <w:rFonts w:cstheme="minorHAnsi"/>
          <w:b/>
          <w:bCs/>
          <w:sz w:val="28"/>
          <w:szCs w:val="28"/>
          <w:u w:val="single"/>
        </w:rPr>
        <w:t>That’s 21 numbers representing 21 unnamed children.</w:t>
      </w:r>
    </w:p>
    <w:p w14:paraId="3CB5594D" w14:textId="7FD77D19" w:rsidR="000A63EC" w:rsidRPr="00CF2272" w:rsidRDefault="00372FC9" w:rsidP="00372FC9">
      <w:pPr>
        <w:spacing w:line="360" w:lineRule="auto"/>
        <w:rPr>
          <w:rFonts w:cstheme="minorHAnsi"/>
          <w:sz w:val="28"/>
          <w:szCs w:val="28"/>
        </w:rPr>
      </w:pPr>
      <w:r w:rsidRPr="00CF2272">
        <w:rPr>
          <w:rFonts w:cstheme="minorHAnsi"/>
          <w:color w:val="000000"/>
          <w:sz w:val="28"/>
          <w:szCs w:val="28"/>
          <w:shd w:val="clear" w:color="auto" w:fill="FFFFFF"/>
        </w:rPr>
        <w:t xml:space="preserve">As always, the numbers that begin with a zero indicate </w:t>
      </w:r>
      <w:proofErr w:type="gramStart"/>
      <w:r w:rsidRPr="00CF2272">
        <w:rPr>
          <w:rFonts w:cstheme="minorHAnsi"/>
          <w:color w:val="000000"/>
          <w:sz w:val="28"/>
          <w:szCs w:val="28"/>
          <w:shd w:val="clear" w:color="auto" w:fill="FFFFFF"/>
        </w:rPr>
        <w:t>girls</w:t>
      </w:r>
      <w:proofErr w:type="gramEnd"/>
    </w:p>
    <w:p w14:paraId="3F997E0F" w14:textId="50668557" w:rsidR="00060848" w:rsidRPr="00CF2272" w:rsidRDefault="00BA0C20" w:rsidP="007B5399">
      <w:pPr>
        <w:spacing w:line="360" w:lineRule="auto"/>
        <w:rPr>
          <w:rFonts w:cstheme="minorHAnsi"/>
          <w:sz w:val="28"/>
          <w:szCs w:val="28"/>
        </w:rPr>
      </w:pPr>
      <w:r>
        <w:rPr>
          <w:rFonts w:cstheme="minorHAnsi"/>
          <w:sz w:val="28"/>
          <w:szCs w:val="28"/>
        </w:rPr>
        <w:t>1</w:t>
      </w:r>
      <w:r w:rsidR="00060848" w:rsidRPr="00CF2272">
        <w:rPr>
          <w:rFonts w:cstheme="minorHAnsi"/>
          <w:sz w:val="28"/>
          <w:szCs w:val="28"/>
        </w:rPr>
        <w:t xml:space="preserve">970s </w:t>
      </w:r>
      <w:r w:rsidR="00F616D8" w:rsidRPr="00CF2272">
        <w:rPr>
          <w:rFonts w:cstheme="minorHAnsi"/>
          <w:sz w:val="28"/>
          <w:szCs w:val="28"/>
        </w:rPr>
        <w:t xml:space="preserve">New dawn of </w:t>
      </w:r>
      <w:r w:rsidR="00F60398" w:rsidRPr="00CF2272">
        <w:rPr>
          <w:rFonts w:cstheme="minorHAnsi"/>
          <w:sz w:val="28"/>
          <w:szCs w:val="28"/>
        </w:rPr>
        <w:t xml:space="preserve">Indigenous rights </w:t>
      </w:r>
    </w:p>
    <w:p w14:paraId="58CFC8DF" w14:textId="13CB567C" w:rsidR="00060848" w:rsidRPr="00CF2272" w:rsidRDefault="00F616D8" w:rsidP="007B5399">
      <w:pPr>
        <w:spacing w:line="360" w:lineRule="auto"/>
        <w:rPr>
          <w:rFonts w:cstheme="minorHAnsi"/>
          <w:sz w:val="28"/>
          <w:szCs w:val="28"/>
        </w:rPr>
      </w:pPr>
      <w:r w:rsidRPr="00CF2272">
        <w:rPr>
          <w:rFonts w:cstheme="minorHAnsi"/>
          <w:sz w:val="28"/>
          <w:szCs w:val="28"/>
        </w:rPr>
        <w:t>Rediscovery of Diversity</w:t>
      </w:r>
    </w:p>
    <w:p w14:paraId="1127020E" w14:textId="77777777" w:rsidR="001D19E5" w:rsidRDefault="00732E81" w:rsidP="001D19E5">
      <w:pPr>
        <w:spacing w:line="360" w:lineRule="auto"/>
        <w:rPr>
          <w:rFonts w:ascii="Times New Roman" w:hAnsi="Times New Roman" w:cs="Times New Roman"/>
          <w:color w:val="000000"/>
          <w:sz w:val="28"/>
          <w:szCs w:val="28"/>
        </w:rPr>
      </w:pPr>
      <w:r w:rsidRPr="00CF2272">
        <w:rPr>
          <w:rFonts w:cstheme="minorHAnsi"/>
          <w:sz w:val="28"/>
          <w:szCs w:val="28"/>
        </w:rPr>
        <w:tab/>
      </w:r>
      <w:r w:rsidR="001D19E5" w:rsidRPr="003B19B7">
        <w:rPr>
          <w:rFonts w:ascii="Times New Roman" w:hAnsi="Times New Roman" w:cs="Times New Roman"/>
          <w:b/>
          <w:bCs/>
          <w:iCs/>
          <w:sz w:val="28"/>
          <w:szCs w:val="28"/>
          <w:u w:val="single"/>
          <w:lang w:val="en-CA"/>
        </w:rPr>
        <w:t>Slide #10</w:t>
      </w:r>
      <w:r w:rsidR="001D19E5">
        <w:rPr>
          <w:rFonts w:ascii="Times New Roman" w:hAnsi="Times New Roman" w:cs="Times New Roman"/>
          <w:sz w:val="28"/>
          <w:szCs w:val="28"/>
          <w:lang w:val="en-CA"/>
        </w:rPr>
        <w:t xml:space="preserve"> This brings me to t</w:t>
      </w:r>
      <w:r w:rsidR="001D19E5" w:rsidRPr="00CC431B">
        <w:rPr>
          <w:rFonts w:ascii="Times New Roman" w:hAnsi="Times New Roman" w:cs="Times New Roman"/>
          <w:sz w:val="28"/>
          <w:szCs w:val="28"/>
        </w:rPr>
        <w:t>he</w:t>
      </w:r>
      <w:r w:rsidR="001D19E5">
        <w:rPr>
          <w:rFonts w:ascii="Times New Roman" w:hAnsi="Times New Roman" w:cs="Times New Roman"/>
          <w:sz w:val="28"/>
          <w:szCs w:val="28"/>
        </w:rPr>
        <w:t xml:space="preserve"> revolutionary breakthrough of the UNDRIP. This UN Declaration</w:t>
      </w:r>
      <w:r w:rsidR="001D19E5" w:rsidRPr="00CC431B">
        <w:rPr>
          <w:rFonts w:ascii="Times New Roman" w:hAnsi="Times New Roman" w:cs="Times New Roman"/>
          <w:sz w:val="28"/>
          <w:szCs w:val="28"/>
        </w:rPr>
        <w:t xml:space="preserve"> builds on a structural latticework of post-war international </w:t>
      </w:r>
      <w:r w:rsidR="001D19E5" w:rsidRPr="00CC431B">
        <w:rPr>
          <w:rFonts w:ascii="Times New Roman" w:hAnsi="Times New Roman" w:cs="Times New Roman"/>
          <w:sz w:val="28"/>
          <w:szCs w:val="28"/>
        </w:rPr>
        <w:lastRenderedPageBreak/>
        <w:t xml:space="preserve">statements on human rights. Notably, article #3 draws forth the first article of the two 1966 UN covenants on human rights: these are the </w:t>
      </w:r>
      <w:r w:rsidR="001D19E5" w:rsidRPr="00CC431B">
        <w:rPr>
          <w:rFonts w:ascii="Times New Roman" w:eastAsia="Times New Roman" w:hAnsi="Times New Roman" w:cs="Times New Roman"/>
          <w:bCs/>
          <w:i/>
          <w:sz w:val="28"/>
          <w:szCs w:val="28"/>
        </w:rPr>
        <w:t xml:space="preserve">International Covenant on Civil and Political Rights </w:t>
      </w:r>
      <w:r w:rsidR="001D19E5" w:rsidRPr="00CC431B">
        <w:rPr>
          <w:rFonts w:ascii="Times New Roman" w:eastAsia="Times New Roman" w:hAnsi="Times New Roman" w:cs="Times New Roman"/>
          <w:bCs/>
          <w:sz w:val="28"/>
          <w:szCs w:val="28"/>
        </w:rPr>
        <w:t xml:space="preserve">(UN General Assembly. 1966)  and the </w:t>
      </w:r>
      <w:r w:rsidR="001D19E5" w:rsidRPr="00CC431B">
        <w:rPr>
          <w:rFonts w:ascii="Times New Roman" w:eastAsia="Times New Roman" w:hAnsi="Times New Roman" w:cs="Times New Roman"/>
          <w:bCs/>
          <w:i/>
          <w:sz w:val="28"/>
          <w:szCs w:val="28"/>
        </w:rPr>
        <w:t>International</w:t>
      </w:r>
      <w:r w:rsidR="001D19E5" w:rsidRPr="00CC431B">
        <w:rPr>
          <w:rFonts w:ascii="Times New Roman" w:eastAsia="Times New Roman" w:hAnsi="Times New Roman" w:cs="Times New Roman"/>
          <w:bCs/>
          <w:sz w:val="28"/>
          <w:szCs w:val="28"/>
        </w:rPr>
        <w:t xml:space="preserve"> </w:t>
      </w:r>
      <w:r w:rsidR="001D19E5" w:rsidRPr="00CC431B">
        <w:rPr>
          <w:rFonts w:ascii="Times New Roman" w:eastAsia="Times New Roman" w:hAnsi="Times New Roman" w:cs="Times New Roman"/>
          <w:i/>
          <w:color w:val="000000"/>
          <w:sz w:val="28"/>
          <w:szCs w:val="28"/>
          <w:shd w:val="clear" w:color="auto" w:fill="FFFFFF"/>
        </w:rPr>
        <w:t>Covenant on Economic, Social and Cultural</w:t>
      </w:r>
      <w:r w:rsidR="001D19E5" w:rsidRPr="00CC431B">
        <w:rPr>
          <w:rFonts w:ascii="Times New Roman" w:eastAsia="Times New Roman" w:hAnsi="Times New Roman" w:cs="Times New Roman"/>
          <w:color w:val="000000"/>
          <w:sz w:val="28"/>
          <w:szCs w:val="28"/>
          <w:shd w:val="clear" w:color="auto" w:fill="FFFFFF"/>
        </w:rPr>
        <w:t xml:space="preserve"> </w:t>
      </w:r>
      <w:r w:rsidR="001D19E5" w:rsidRPr="00CC431B">
        <w:rPr>
          <w:rFonts w:ascii="Times New Roman" w:eastAsia="Times New Roman" w:hAnsi="Times New Roman" w:cs="Times New Roman"/>
          <w:i/>
          <w:color w:val="000000"/>
          <w:sz w:val="28"/>
          <w:szCs w:val="28"/>
          <w:shd w:val="clear" w:color="auto" w:fill="FFFFFF"/>
        </w:rPr>
        <w:t>Rights</w:t>
      </w:r>
      <w:r w:rsidR="001D19E5" w:rsidRPr="00CC431B">
        <w:rPr>
          <w:rFonts w:ascii="Times New Roman" w:eastAsia="Times New Roman" w:hAnsi="Times New Roman" w:cs="Times New Roman"/>
          <w:color w:val="000000"/>
          <w:sz w:val="28"/>
          <w:szCs w:val="28"/>
          <w:shd w:val="clear" w:color="auto" w:fill="FFFFFF"/>
        </w:rPr>
        <w:t xml:space="preserve">. (UN General Assembly. 1966). These two covenants expand on the 1948 </w:t>
      </w:r>
      <w:r w:rsidR="001D19E5" w:rsidRPr="00CC431B">
        <w:rPr>
          <w:rFonts w:ascii="Times New Roman" w:eastAsia="Times New Roman" w:hAnsi="Times New Roman" w:cs="Times New Roman"/>
          <w:i/>
          <w:color w:val="000000"/>
          <w:sz w:val="28"/>
          <w:szCs w:val="28"/>
          <w:shd w:val="clear" w:color="auto" w:fill="FFFFFF"/>
        </w:rPr>
        <w:t>Universal</w:t>
      </w:r>
      <w:r w:rsidR="001D19E5" w:rsidRPr="00CC431B">
        <w:rPr>
          <w:rFonts w:ascii="Times New Roman" w:eastAsia="Times New Roman" w:hAnsi="Times New Roman" w:cs="Times New Roman"/>
          <w:color w:val="000000"/>
          <w:sz w:val="28"/>
          <w:szCs w:val="28"/>
          <w:shd w:val="clear" w:color="auto" w:fill="FFFFFF"/>
        </w:rPr>
        <w:t xml:space="preserve"> </w:t>
      </w:r>
      <w:r w:rsidR="001D19E5" w:rsidRPr="00CC431B">
        <w:rPr>
          <w:rFonts w:ascii="Times New Roman" w:eastAsia="Times New Roman" w:hAnsi="Times New Roman" w:cs="Times New Roman"/>
          <w:i/>
          <w:color w:val="000000"/>
          <w:sz w:val="28"/>
          <w:szCs w:val="28"/>
          <w:shd w:val="clear" w:color="auto" w:fill="FFFFFF"/>
        </w:rPr>
        <w:t>Declaration on Human</w:t>
      </w:r>
      <w:r w:rsidR="001D19E5" w:rsidRPr="00CC431B">
        <w:rPr>
          <w:rFonts w:ascii="Times New Roman" w:eastAsia="Times New Roman" w:hAnsi="Times New Roman" w:cs="Times New Roman"/>
          <w:color w:val="000000"/>
          <w:sz w:val="28"/>
          <w:szCs w:val="28"/>
          <w:shd w:val="clear" w:color="auto" w:fill="FFFFFF"/>
        </w:rPr>
        <w:t xml:space="preserve"> </w:t>
      </w:r>
      <w:r w:rsidR="001D19E5" w:rsidRPr="00CC431B">
        <w:rPr>
          <w:rFonts w:ascii="Times New Roman" w:eastAsia="Times New Roman" w:hAnsi="Times New Roman" w:cs="Times New Roman"/>
          <w:i/>
          <w:color w:val="000000"/>
          <w:sz w:val="28"/>
          <w:szCs w:val="28"/>
          <w:shd w:val="clear" w:color="auto" w:fill="FFFFFF"/>
        </w:rPr>
        <w:t>Rights</w:t>
      </w:r>
      <w:r w:rsidR="001D19E5" w:rsidRPr="00CC431B">
        <w:rPr>
          <w:rFonts w:ascii="Times New Roman" w:eastAsia="Times New Roman" w:hAnsi="Times New Roman" w:cs="Times New Roman"/>
          <w:color w:val="000000"/>
          <w:sz w:val="28"/>
          <w:szCs w:val="28"/>
          <w:shd w:val="clear" w:color="auto" w:fill="FFFFFF"/>
        </w:rPr>
        <w:t xml:space="preserve">. </w:t>
      </w:r>
      <w:r w:rsidR="001D19E5" w:rsidRPr="00CC431B">
        <w:rPr>
          <w:rFonts w:ascii="Times New Roman" w:hAnsi="Times New Roman" w:cs="Times New Roman"/>
          <w:color w:val="000000"/>
          <w:sz w:val="28"/>
          <w:szCs w:val="28"/>
        </w:rPr>
        <w:t>The covenants continued to elaborate on the international legal trajectory of highlighting human rights over state values begun in 1948 (Anaya. 2004, pp.49-61).</w:t>
      </w:r>
      <w:r w:rsidR="001D19E5">
        <w:rPr>
          <w:rFonts w:ascii="Times New Roman" w:hAnsi="Times New Roman" w:cs="Times New Roman"/>
          <w:color w:val="000000"/>
          <w:sz w:val="28"/>
          <w:szCs w:val="28"/>
        </w:rPr>
        <w:t xml:space="preserve"> </w:t>
      </w:r>
    </w:p>
    <w:p w14:paraId="20867BB4" w14:textId="77777777" w:rsidR="001D19E5" w:rsidRPr="00CC431B" w:rsidRDefault="001D19E5" w:rsidP="001D19E5">
      <w:pPr>
        <w:spacing w:line="360" w:lineRule="auto"/>
        <w:rPr>
          <w:rFonts w:ascii="Times New Roman" w:eastAsia="Times New Roman" w:hAnsi="Times New Roman" w:cs="Times New Roman"/>
          <w:bCs/>
          <w:sz w:val="28"/>
          <w:szCs w:val="28"/>
        </w:rPr>
      </w:pPr>
      <w:r w:rsidRPr="00D06E69">
        <w:rPr>
          <w:rFonts w:ascii="Times New Roman" w:hAnsi="Times New Roman" w:cs="Times New Roman"/>
          <w:b/>
          <w:bCs/>
          <w:color w:val="000000"/>
          <w:sz w:val="28"/>
          <w:szCs w:val="28"/>
          <w:u w:val="single"/>
        </w:rPr>
        <w:t>Slide #11</w:t>
      </w:r>
      <w:r>
        <w:rPr>
          <w:rFonts w:ascii="Times New Roman" w:hAnsi="Times New Roman" w:cs="Times New Roman"/>
          <w:color w:val="000000"/>
          <w:sz w:val="28"/>
          <w:szCs w:val="28"/>
        </w:rPr>
        <w:t xml:space="preserve"> The Covenants are a breakthrough in that they forcefully introduce human rights as a judicially cognizable and enforceable entity in court. </w:t>
      </w:r>
      <w:r w:rsidRPr="00CC431B">
        <w:rPr>
          <w:rFonts w:ascii="Times New Roman" w:hAnsi="Times New Roman" w:cs="Times New Roman"/>
          <w:color w:val="000000"/>
          <w:sz w:val="28"/>
          <w:szCs w:val="28"/>
        </w:rPr>
        <w:t>They also forcefully advocated for collective self-determination, a core issue of the Indigenous rights movement. Through the covenants, Indigenous representatives expanded on the contemporary distinction between “peoples holding the right of self-determination” and “minorities holding the right to cultural integrity” (McHugh, 2005, p. 299). Indigenous representatives in Canada recognized in these thoughts the potential for their own struggles for recognition and supported the development of the universal human rights program, predominantly through the UN, as a “remedy to assimilation” and racial discrimination</w:t>
      </w:r>
      <w:r>
        <w:rPr>
          <w:rFonts w:ascii="Times New Roman" w:hAnsi="Times New Roman" w:cs="Times New Roman"/>
          <w:color w:val="000000"/>
          <w:sz w:val="28"/>
          <w:szCs w:val="28"/>
        </w:rPr>
        <w:t>.</w:t>
      </w:r>
      <w:r w:rsidRPr="00CC431B">
        <w:rPr>
          <w:rFonts w:ascii="Times New Roman" w:hAnsi="Times New Roman" w:cs="Times New Roman"/>
          <w:color w:val="000000"/>
          <w:sz w:val="28"/>
          <w:szCs w:val="28"/>
        </w:rPr>
        <w:t xml:space="preserve">  While resisting the domestic Indigenous assimilationist projects that first grew out of the post-war international claims for human rights, for example the infamous </w:t>
      </w:r>
      <w:r w:rsidRPr="00CC431B">
        <w:rPr>
          <w:rFonts w:ascii="Times New Roman" w:hAnsi="Times New Roman" w:cs="Times New Roman"/>
          <w:i/>
          <w:color w:val="000000"/>
          <w:sz w:val="28"/>
          <w:szCs w:val="28"/>
        </w:rPr>
        <w:t>White Paper</w:t>
      </w:r>
      <w:r w:rsidRPr="00CC431B">
        <w:rPr>
          <w:rFonts w:ascii="Times New Roman" w:hAnsi="Times New Roman" w:cs="Times New Roman"/>
          <w:color w:val="000000"/>
          <w:sz w:val="28"/>
          <w:szCs w:val="28"/>
        </w:rPr>
        <w:t xml:space="preserve"> of 1969, Indigenous peoples formulated their own arguments tying together the mid-20</w:t>
      </w:r>
      <w:r w:rsidRPr="00CC431B">
        <w:rPr>
          <w:rFonts w:ascii="Times New Roman" w:hAnsi="Times New Roman" w:cs="Times New Roman"/>
          <w:color w:val="000000"/>
          <w:sz w:val="28"/>
          <w:szCs w:val="28"/>
          <w:vertAlign w:val="superscript"/>
        </w:rPr>
        <w:t>th</w:t>
      </w:r>
      <w:r w:rsidRPr="00CC431B">
        <w:rPr>
          <w:rFonts w:ascii="Times New Roman" w:hAnsi="Times New Roman" w:cs="Times New Roman"/>
          <w:color w:val="000000"/>
          <w:sz w:val="28"/>
          <w:szCs w:val="28"/>
        </w:rPr>
        <w:t xml:space="preserve"> century rights models for “self-determination, minority and human rights</w:t>
      </w:r>
      <w:r>
        <w:rPr>
          <w:rFonts w:ascii="Times New Roman" w:hAnsi="Times New Roman" w:cs="Times New Roman"/>
          <w:color w:val="000000"/>
          <w:sz w:val="28"/>
          <w:szCs w:val="28"/>
        </w:rPr>
        <w:t>.</w:t>
      </w:r>
      <w:r w:rsidRPr="00CC431B">
        <w:rPr>
          <w:rFonts w:ascii="Times New Roman" w:hAnsi="Times New Roman" w:cs="Times New Roman"/>
          <w:color w:val="000000"/>
          <w:sz w:val="28"/>
          <w:szCs w:val="28"/>
        </w:rPr>
        <w:t>”</w:t>
      </w:r>
      <w:r>
        <w:rPr>
          <w:rFonts w:ascii="Times New Roman" w:hAnsi="Times New Roman" w:cs="Times New Roman"/>
          <w:color w:val="000000"/>
          <w:sz w:val="28"/>
          <w:szCs w:val="28"/>
        </w:rPr>
        <w:t xml:space="preserve"> </w:t>
      </w:r>
      <w:r w:rsidRPr="00CC431B">
        <w:rPr>
          <w:rFonts w:ascii="Times New Roman" w:hAnsi="Times New Roman" w:cs="Times New Roman"/>
          <w:color w:val="000000"/>
          <w:sz w:val="28"/>
          <w:szCs w:val="28"/>
        </w:rPr>
        <w:t xml:space="preserve">The covenants influenced national discussions on Indigenous rights in both legal and political spheres. In part this was this due to the ongoing campaigns of Indigenous representation. Canadian public discourse absorbed the growing contemporary international human rights consciousness in its public policy </w:t>
      </w:r>
      <w:r w:rsidRPr="00CC431B">
        <w:rPr>
          <w:rFonts w:ascii="Times New Roman" w:hAnsi="Times New Roman" w:cs="Times New Roman"/>
          <w:color w:val="000000"/>
          <w:sz w:val="28"/>
          <w:szCs w:val="28"/>
        </w:rPr>
        <w:lastRenderedPageBreak/>
        <w:t xml:space="preserve">dialogue on Indigenous rights. International forums on Indigenous rights influenced the tone of such domestic work as the </w:t>
      </w:r>
      <w:r w:rsidRPr="00CC431B">
        <w:rPr>
          <w:rFonts w:ascii="Times New Roman" w:hAnsi="Times New Roman" w:cs="Times New Roman"/>
          <w:i/>
          <w:color w:val="000000"/>
          <w:sz w:val="28"/>
          <w:szCs w:val="28"/>
        </w:rPr>
        <w:t xml:space="preserve">Canadian Charter of Rights and Freedoms </w:t>
      </w:r>
      <w:r w:rsidRPr="00CC431B">
        <w:rPr>
          <w:rFonts w:ascii="Times New Roman" w:hAnsi="Times New Roman" w:cs="Times New Roman"/>
          <w:color w:val="000000"/>
          <w:sz w:val="28"/>
          <w:szCs w:val="28"/>
        </w:rPr>
        <w:t xml:space="preserve">(Canada. 2008). It also informed the arguments of activist public litigation law that enabled Indigenous rights campaigns in Canada (McHugh. 2011, pp. 8-9). Ultimately, as a remedy for assimilation, the international Indigenous rights movement made effective use of the post-war movement towards pan-statist, collective human rights. The first article of both Covenants reads: </w:t>
      </w:r>
    </w:p>
    <w:p w14:paraId="62445DBD" w14:textId="77777777" w:rsidR="001D19E5" w:rsidRPr="00CC431B" w:rsidRDefault="001D19E5" w:rsidP="001D19E5">
      <w:pPr>
        <w:ind w:left="720"/>
        <w:rPr>
          <w:rFonts w:ascii="Times New Roman" w:eastAsia="Times New Roman" w:hAnsi="Times New Roman" w:cs="Times New Roman"/>
          <w:color w:val="000000"/>
          <w:sz w:val="28"/>
          <w:szCs w:val="28"/>
          <w:shd w:val="clear" w:color="auto" w:fill="FFFFFF"/>
        </w:rPr>
      </w:pPr>
      <w:r w:rsidRPr="00CC431B">
        <w:rPr>
          <w:rFonts w:ascii="Times New Roman" w:eastAsia="Times New Roman" w:hAnsi="Times New Roman" w:cs="Times New Roman"/>
          <w:color w:val="000000"/>
          <w:sz w:val="28"/>
          <w:szCs w:val="28"/>
          <w:shd w:val="clear" w:color="auto" w:fill="FFFFFF"/>
        </w:rPr>
        <w:t>All peoples have the right of self-determination. By virtue of that right they freely determine their political status and freely pursue their economic, social and cultural development. (U.N. 1966)</w:t>
      </w:r>
    </w:p>
    <w:p w14:paraId="73CD0216" w14:textId="77777777" w:rsidR="001D19E5" w:rsidRPr="00CC431B" w:rsidRDefault="001D19E5" w:rsidP="001D19E5">
      <w:pPr>
        <w:spacing w:line="360" w:lineRule="auto"/>
        <w:rPr>
          <w:rFonts w:ascii="Times New Roman" w:hAnsi="Times New Roman" w:cs="Times New Roman"/>
          <w:sz w:val="28"/>
          <w:szCs w:val="28"/>
        </w:rPr>
      </w:pPr>
      <w:r w:rsidRPr="00CC431B">
        <w:rPr>
          <w:rFonts w:ascii="Times New Roman" w:hAnsi="Times New Roman" w:cs="Times New Roman"/>
          <w:sz w:val="28"/>
          <w:szCs w:val="28"/>
        </w:rPr>
        <w:t xml:space="preserve">Article three of the UNDRIP reads: </w:t>
      </w:r>
    </w:p>
    <w:p w14:paraId="1AD5EB73" w14:textId="77777777" w:rsidR="001D19E5" w:rsidRPr="00CC431B" w:rsidRDefault="001D19E5" w:rsidP="001D19E5">
      <w:pPr>
        <w:ind w:left="720"/>
        <w:rPr>
          <w:rFonts w:ascii="Times New Roman" w:hAnsi="Times New Roman" w:cs="Times New Roman"/>
          <w:sz w:val="28"/>
          <w:szCs w:val="28"/>
        </w:rPr>
      </w:pPr>
      <w:r w:rsidRPr="00CC431B">
        <w:rPr>
          <w:rFonts w:ascii="Times New Roman" w:hAnsi="Times New Roman" w:cs="Times New Roman"/>
          <w:sz w:val="28"/>
          <w:szCs w:val="28"/>
        </w:rPr>
        <w:t xml:space="preserve">Indigenous peoples have the right to self-determination. By virtue of that right they freely determine their political status and freely pursue their economic, social and cultural development. (U.N. 2007) </w:t>
      </w:r>
    </w:p>
    <w:p w14:paraId="1BB64C28" w14:textId="77777777" w:rsidR="001D19E5" w:rsidRPr="00424889" w:rsidRDefault="001D19E5" w:rsidP="001D19E5">
      <w:pPr>
        <w:spacing w:line="360" w:lineRule="auto"/>
        <w:rPr>
          <w:rFonts w:ascii="Times New Roman" w:hAnsi="Times New Roman" w:cs="Times New Roman"/>
          <w:iCs/>
          <w:sz w:val="28"/>
          <w:szCs w:val="28"/>
        </w:rPr>
      </w:pPr>
      <w:r>
        <w:rPr>
          <w:rFonts w:ascii="Times New Roman" w:hAnsi="Times New Roman" w:cs="Times New Roman"/>
          <w:b/>
          <w:bCs/>
          <w:iCs/>
          <w:sz w:val="28"/>
          <w:szCs w:val="28"/>
          <w:u w:val="single"/>
          <w:lang w:val="en-CA"/>
        </w:rPr>
        <w:t xml:space="preserve">Slide #12 </w:t>
      </w:r>
      <w:r w:rsidRPr="00424889">
        <w:rPr>
          <w:rFonts w:ascii="Times New Roman" w:hAnsi="Times New Roman" w:cs="Times New Roman"/>
          <w:iCs/>
          <w:sz w:val="28"/>
          <w:szCs w:val="28"/>
        </w:rPr>
        <w:t>The idea of inherent human rights is an entirely new frame of reference in the history of Eurocentric legal thought and tradition.</w:t>
      </w:r>
      <w:r>
        <w:rPr>
          <w:rFonts w:ascii="Times New Roman" w:hAnsi="Times New Roman" w:cs="Times New Roman"/>
          <w:iCs/>
          <w:sz w:val="28"/>
          <w:szCs w:val="28"/>
        </w:rPr>
        <w:t xml:space="preserve"> It has since the covenants been confirmed in serval important international declarations. These include: </w:t>
      </w:r>
    </w:p>
    <w:p w14:paraId="3B9468E8" w14:textId="77777777" w:rsidR="001D19E5" w:rsidRPr="00821424" w:rsidRDefault="001D19E5" w:rsidP="001D19E5">
      <w:pPr>
        <w:spacing w:line="360" w:lineRule="auto"/>
        <w:rPr>
          <w:rFonts w:ascii="Times New Roman" w:hAnsi="Times New Roman" w:cs="Times New Roman"/>
          <w:sz w:val="28"/>
          <w:szCs w:val="28"/>
        </w:rPr>
      </w:pPr>
      <w:r w:rsidRPr="00590F37">
        <w:rPr>
          <w:rFonts w:ascii="Times New Roman" w:hAnsi="Times New Roman" w:cs="Times New Roman"/>
          <w:b/>
          <w:bCs/>
          <w:sz w:val="28"/>
          <w:szCs w:val="28"/>
          <w:u w:val="single"/>
        </w:rPr>
        <w:t>Slide #13</w:t>
      </w:r>
      <w:r>
        <w:rPr>
          <w:rFonts w:ascii="Times New Roman" w:hAnsi="Times New Roman" w:cs="Times New Roman"/>
          <w:b/>
          <w:bCs/>
          <w:sz w:val="28"/>
          <w:szCs w:val="28"/>
          <w:u w:val="single"/>
        </w:rPr>
        <w:t xml:space="preserve"> T</w:t>
      </w:r>
      <w:r>
        <w:rPr>
          <w:rFonts w:ascii="Times New Roman" w:hAnsi="Times New Roman" w:cs="Times New Roman"/>
          <w:sz w:val="28"/>
          <w:szCs w:val="28"/>
        </w:rPr>
        <w:t xml:space="preserve">hese developments in legal thought do not underplay the accomplishments of Indigenous activists who have for generations argued for their collective inherent rights as Indigenous peoples. The UNDRIP represents a revolution in legal thought. The inherent rights expressed in the UNDRIP exist as a holistic refection of the elusive </w:t>
      </w:r>
      <w:proofErr w:type="spellStart"/>
      <w:r>
        <w:rPr>
          <w:rFonts w:ascii="Times New Roman" w:hAnsi="Times New Roman" w:cs="Times New Roman"/>
          <w:sz w:val="28"/>
          <w:szCs w:val="28"/>
        </w:rPr>
        <w:t>imllicit</w:t>
      </w:r>
      <w:proofErr w:type="spellEnd"/>
      <w:r>
        <w:rPr>
          <w:rFonts w:ascii="Times New Roman" w:hAnsi="Times New Roman" w:cs="Times New Roman"/>
          <w:sz w:val="28"/>
          <w:szCs w:val="28"/>
        </w:rPr>
        <w:t xml:space="preserve"> order of human life and </w:t>
      </w:r>
      <w:proofErr w:type="spellStart"/>
      <w:r>
        <w:rPr>
          <w:rFonts w:ascii="Times New Roman" w:hAnsi="Times New Roman" w:cs="Times New Roman"/>
          <w:sz w:val="28"/>
          <w:szCs w:val="28"/>
        </w:rPr>
        <w:t>behaviour</w:t>
      </w:r>
      <w:proofErr w:type="spellEnd"/>
      <w:r>
        <w:rPr>
          <w:rFonts w:ascii="Times New Roman" w:hAnsi="Times New Roman" w:cs="Times New Roman"/>
          <w:sz w:val="28"/>
          <w:szCs w:val="28"/>
        </w:rPr>
        <w:t xml:space="preserve"> developed by Indigenous thought and law. As Henderson observes, in the history of Eurocentric legal thought, inherent human rights have existed as a shadow realm that reveals and reflects the concept of law both as an immanent order and as the will of the sovereign. And like other legal revolutions such as the French and Russian, the memories of these radical developments are reflected in public </w:t>
      </w:r>
      <w:r>
        <w:rPr>
          <w:rFonts w:ascii="Times New Roman" w:hAnsi="Times New Roman" w:cs="Times New Roman"/>
          <w:sz w:val="28"/>
          <w:szCs w:val="28"/>
        </w:rPr>
        <w:lastRenderedPageBreak/>
        <w:t xml:space="preserve">records. In this case, the Indian Residential School Settlement Agreement, which assigned the Truth and Reconciliation Commission the mandate to create a unique set of records to be preserved at a publicly available Indigenous research centre. The recordkeeping instructions for the TRC included:  </w:t>
      </w:r>
    </w:p>
    <w:p w14:paraId="478965F8" w14:textId="77777777" w:rsidR="001D19E5" w:rsidRPr="00B87891" w:rsidRDefault="001D19E5" w:rsidP="001D19E5">
      <w:pPr>
        <w:spacing w:line="360" w:lineRule="auto"/>
        <w:ind w:left="720"/>
        <w:rPr>
          <w:sz w:val="28"/>
          <w:szCs w:val="28"/>
        </w:rPr>
      </w:pPr>
      <w:r w:rsidRPr="00B87891">
        <w:rPr>
          <w:sz w:val="28"/>
          <w:szCs w:val="28"/>
        </w:rPr>
        <w:t xml:space="preserve">a. Acknowledge Residential School experiences, impacts and </w:t>
      </w:r>
      <w:proofErr w:type="gramStart"/>
      <w:r w:rsidRPr="00B87891">
        <w:rPr>
          <w:sz w:val="28"/>
          <w:szCs w:val="28"/>
        </w:rPr>
        <w:t>consequences;</w:t>
      </w:r>
      <w:proofErr w:type="gramEnd"/>
      <w:r w:rsidRPr="00B87891">
        <w:rPr>
          <w:sz w:val="28"/>
          <w:szCs w:val="28"/>
        </w:rPr>
        <w:t xml:space="preserve"> </w:t>
      </w:r>
    </w:p>
    <w:p w14:paraId="7D19C530" w14:textId="77777777" w:rsidR="001D19E5" w:rsidRPr="00B87891" w:rsidRDefault="001D19E5" w:rsidP="001D19E5">
      <w:pPr>
        <w:spacing w:line="360" w:lineRule="auto"/>
        <w:ind w:left="720"/>
        <w:rPr>
          <w:rFonts w:ascii="Times New Roman" w:hAnsi="Times New Roman" w:cs="Times New Roman"/>
          <w:sz w:val="28"/>
          <w:szCs w:val="28"/>
        </w:rPr>
      </w:pPr>
      <w:r w:rsidRPr="00B87891">
        <w:rPr>
          <w:rFonts w:ascii="Times New Roman" w:hAnsi="Times New Roman" w:cs="Times New Roman"/>
          <w:sz w:val="28"/>
          <w:szCs w:val="28"/>
        </w:rPr>
        <w:t xml:space="preserve">b. Provide a holistic, culturally appropriate and safe setting for former students, their families and communities as they come forward to the </w:t>
      </w:r>
      <w:proofErr w:type="gramStart"/>
      <w:r w:rsidRPr="00B87891">
        <w:rPr>
          <w:rFonts w:ascii="Times New Roman" w:hAnsi="Times New Roman" w:cs="Times New Roman"/>
          <w:sz w:val="28"/>
          <w:szCs w:val="28"/>
        </w:rPr>
        <w:t>Commission;</w:t>
      </w:r>
      <w:proofErr w:type="gramEnd"/>
      <w:r w:rsidRPr="00B87891">
        <w:rPr>
          <w:rFonts w:ascii="Times New Roman" w:hAnsi="Times New Roman" w:cs="Times New Roman"/>
          <w:sz w:val="28"/>
          <w:szCs w:val="28"/>
        </w:rPr>
        <w:t xml:space="preserve"> </w:t>
      </w:r>
    </w:p>
    <w:p w14:paraId="60AECA6E" w14:textId="77777777" w:rsidR="001D19E5" w:rsidRPr="00B87891" w:rsidRDefault="001D19E5" w:rsidP="001D19E5">
      <w:pPr>
        <w:spacing w:line="360" w:lineRule="auto"/>
        <w:ind w:left="720"/>
        <w:rPr>
          <w:rFonts w:ascii="Times New Roman" w:hAnsi="Times New Roman" w:cs="Times New Roman"/>
          <w:sz w:val="28"/>
          <w:szCs w:val="28"/>
        </w:rPr>
      </w:pPr>
      <w:r w:rsidRPr="00B87891">
        <w:rPr>
          <w:rFonts w:ascii="Times New Roman" w:hAnsi="Times New Roman" w:cs="Times New Roman"/>
          <w:sz w:val="28"/>
          <w:szCs w:val="28"/>
        </w:rPr>
        <w:t xml:space="preserve">c. Witness, support, promote and facilitate truth and reconciliation events at both the national and community </w:t>
      </w:r>
      <w:proofErr w:type="gramStart"/>
      <w:r w:rsidRPr="00B87891">
        <w:rPr>
          <w:rFonts w:ascii="Times New Roman" w:hAnsi="Times New Roman" w:cs="Times New Roman"/>
          <w:sz w:val="28"/>
          <w:szCs w:val="28"/>
        </w:rPr>
        <w:t>levels;</w:t>
      </w:r>
      <w:proofErr w:type="gramEnd"/>
    </w:p>
    <w:p w14:paraId="2C98D1E0" w14:textId="77777777" w:rsidR="001D19E5" w:rsidRPr="00B87891" w:rsidRDefault="001D19E5" w:rsidP="001D19E5">
      <w:pPr>
        <w:spacing w:line="360" w:lineRule="auto"/>
        <w:ind w:left="720"/>
        <w:rPr>
          <w:rFonts w:ascii="Times New Roman" w:hAnsi="Times New Roman" w:cs="Times New Roman"/>
          <w:sz w:val="28"/>
          <w:szCs w:val="28"/>
        </w:rPr>
      </w:pPr>
      <w:r w:rsidRPr="00B87891">
        <w:rPr>
          <w:rFonts w:ascii="Times New Roman" w:hAnsi="Times New Roman" w:cs="Times New Roman"/>
          <w:sz w:val="28"/>
          <w:szCs w:val="28"/>
        </w:rPr>
        <w:t xml:space="preserve">d. Promote awareness and public education of Canadians about the IRS system and its </w:t>
      </w:r>
      <w:proofErr w:type="gramStart"/>
      <w:r w:rsidRPr="00B87891">
        <w:rPr>
          <w:rFonts w:ascii="Times New Roman" w:hAnsi="Times New Roman" w:cs="Times New Roman"/>
          <w:sz w:val="28"/>
          <w:szCs w:val="28"/>
        </w:rPr>
        <w:t>impacts;</w:t>
      </w:r>
      <w:proofErr w:type="gramEnd"/>
      <w:r w:rsidRPr="00B87891">
        <w:rPr>
          <w:rFonts w:ascii="Times New Roman" w:hAnsi="Times New Roman" w:cs="Times New Roman"/>
          <w:sz w:val="28"/>
          <w:szCs w:val="28"/>
        </w:rPr>
        <w:t xml:space="preserve"> </w:t>
      </w:r>
    </w:p>
    <w:p w14:paraId="7DB85823" w14:textId="77777777" w:rsidR="001D19E5" w:rsidRDefault="001D19E5" w:rsidP="001D19E5">
      <w:pPr>
        <w:spacing w:line="360" w:lineRule="auto"/>
        <w:ind w:left="720"/>
        <w:rPr>
          <w:rFonts w:ascii="Times New Roman" w:hAnsi="Times New Roman" w:cs="Times New Roman"/>
          <w:sz w:val="28"/>
          <w:szCs w:val="28"/>
        </w:rPr>
      </w:pPr>
      <w:r w:rsidRPr="00B87891">
        <w:rPr>
          <w:rFonts w:ascii="Times New Roman" w:hAnsi="Times New Roman" w:cs="Times New Roman"/>
          <w:sz w:val="28"/>
          <w:szCs w:val="28"/>
        </w:rPr>
        <w:t xml:space="preserve">e. Identify sources and create as complete an historical record as possible of the IRS system and legacy. The record shall be preserved and made accessible to the public for future study and use. </w:t>
      </w:r>
    </w:p>
    <w:p w14:paraId="241A27C9" w14:textId="77777777" w:rsidR="001D19E5" w:rsidRDefault="001D19E5" w:rsidP="001D19E5">
      <w:pPr>
        <w:spacing w:line="360" w:lineRule="auto"/>
        <w:rPr>
          <w:rFonts w:ascii="Times New Roman" w:hAnsi="Times New Roman" w:cs="Times New Roman"/>
          <w:sz w:val="28"/>
          <w:szCs w:val="28"/>
        </w:rPr>
      </w:pPr>
      <w:r w:rsidRPr="00B87891">
        <w:rPr>
          <w:rFonts w:ascii="Times New Roman" w:hAnsi="Times New Roman" w:cs="Times New Roman"/>
          <w:b/>
          <w:bCs/>
          <w:sz w:val="28"/>
          <w:szCs w:val="28"/>
          <w:u w:val="single"/>
        </w:rPr>
        <w:t>Slide 14</w:t>
      </w:r>
      <w:r>
        <w:rPr>
          <w:rFonts w:ascii="Times New Roman" w:hAnsi="Times New Roman" w:cs="Times New Roman"/>
          <w:b/>
          <w:bCs/>
          <w:sz w:val="28"/>
          <w:szCs w:val="28"/>
          <w:u w:val="single"/>
        </w:rPr>
        <w:t xml:space="preserve"> </w:t>
      </w:r>
      <w:r>
        <w:rPr>
          <w:rFonts w:ascii="Times New Roman" w:hAnsi="Times New Roman" w:cs="Times New Roman"/>
          <w:sz w:val="28"/>
          <w:szCs w:val="28"/>
        </w:rPr>
        <w:t xml:space="preserve">in 2015, when the TRC completed its </w:t>
      </w:r>
      <w:proofErr w:type="gramStart"/>
      <w:r>
        <w:rPr>
          <w:rFonts w:ascii="Times New Roman" w:hAnsi="Times New Roman" w:cs="Times New Roman"/>
          <w:sz w:val="28"/>
          <w:szCs w:val="28"/>
        </w:rPr>
        <w:t>work</w:t>
      </w:r>
      <w:proofErr w:type="gramEnd"/>
      <w:r>
        <w:rPr>
          <w:rFonts w:ascii="Times New Roman" w:hAnsi="Times New Roman" w:cs="Times New Roman"/>
          <w:sz w:val="28"/>
          <w:szCs w:val="28"/>
        </w:rPr>
        <w:t xml:space="preserve"> it had acquired roughly 7,000 Survivor and witness statements and over 4 million digital records documenting the history and legacy of residential school. To deal with this unprecedented set of over 300 tbs of digital material the NCTR turned to the Canada Foundation for Innovation. </w:t>
      </w:r>
    </w:p>
    <w:p w14:paraId="1A75013F" w14:textId="77777777" w:rsidR="001D19E5" w:rsidRDefault="001D19E5" w:rsidP="001D19E5">
      <w:pPr>
        <w:spacing w:line="360" w:lineRule="auto"/>
        <w:rPr>
          <w:rFonts w:ascii="Times New Roman" w:hAnsi="Times New Roman" w:cs="Times New Roman"/>
          <w:sz w:val="28"/>
          <w:szCs w:val="28"/>
        </w:rPr>
      </w:pPr>
      <w:r w:rsidRPr="00B87891">
        <w:rPr>
          <w:rFonts w:ascii="Times New Roman" w:hAnsi="Times New Roman" w:cs="Times New Roman"/>
          <w:sz w:val="28"/>
          <w:szCs w:val="28"/>
        </w:rPr>
        <w:t xml:space="preserve">The application had to Reframe the Concept of Innovative Research through Decolonization </w:t>
      </w:r>
    </w:p>
    <w:p w14:paraId="6C178F94" w14:textId="77777777" w:rsidR="00842E9B" w:rsidRDefault="00842E9B" w:rsidP="007B5399">
      <w:pPr>
        <w:spacing w:line="360" w:lineRule="auto"/>
        <w:rPr>
          <w:rFonts w:cstheme="minorHAnsi"/>
          <w:sz w:val="28"/>
          <w:szCs w:val="28"/>
        </w:rPr>
      </w:pPr>
    </w:p>
    <w:p w14:paraId="2160D6F2" w14:textId="77777777" w:rsidR="00842E9B" w:rsidRDefault="00842E9B" w:rsidP="007B5399">
      <w:pPr>
        <w:spacing w:line="360" w:lineRule="auto"/>
        <w:rPr>
          <w:rFonts w:cstheme="minorHAnsi"/>
          <w:sz w:val="28"/>
          <w:szCs w:val="28"/>
        </w:rPr>
      </w:pPr>
    </w:p>
    <w:p w14:paraId="6567690D" w14:textId="1B22D430" w:rsidR="002519A6" w:rsidRPr="00842E9B" w:rsidRDefault="004D5C1D" w:rsidP="007B5399">
      <w:pPr>
        <w:spacing w:line="360" w:lineRule="auto"/>
        <w:rPr>
          <w:rFonts w:cstheme="minorHAnsi"/>
          <w:b/>
          <w:bCs/>
          <w:sz w:val="28"/>
          <w:szCs w:val="28"/>
          <w:u w:val="single"/>
        </w:rPr>
      </w:pPr>
      <w:r w:rsidRPr="00842E9B">
        <w:rPr>
          <w:rFonts w:cstheme="minorHAnsi"/>
          <w:b/>
          <w:bCs/>
          <w:sz w:val="28"/>
          <w:szCs w:val="28"/>
          <w:u w:val="single"/>
        </w:rPr>
        <w:lastRenderedPageBreak/>
        <w:t>Conclu</w:t>
      </w:r>
      <w:r w:rsidR="00842E9B" w:rsidRPr="00842E9B">
        <w:rPr>
          <w:rFonts w:cstheme="minorHAnsi"/>
          <w:b/>
          <w:bCs/>
          <w:sz w:val="28"/>
          <w:szCs w:val="28"/>
          <w:u w:val="single"/>
        </w:rPr>
        <w:t>sion</w:t>
      </w:r>
      <w:r w:rsidR="00842E9B">
        <w:rPr>
          <w:rFonts w:cstheme="minorHAnsi"/>
          <w:b/>
          <w:bCs/>
          <w:sz w:val="28"/>
          <w:szCs w:val="28"/>
          <w:u w:val="single"/>
        </w:rPr>
        <w:t>:</w:t>
      </w:r>
    </w:p>
    <w:p w14:paraId="1AFE55D2" w14:textId="49C18026" w:rsidR="00842E9B" w:rsidRPr="00CF2272" w:rsidRDefault="00842E9B" w:rsidP="00842E9B">
      <w:pPr>
        <w:spacing w:line="360" w:lineRule="auto"/>
        <w:rPr>
          <w:rFonts w:cstheme="minorHAnsi"/>
          <w:sz w:val="28"/>
          <w:szCs w:val="28"/>
          <w:lang w:val="en-CA"/>
        </w:rPr>
      </w:pPr>
      <w:r w:rsidRPr="00CF2272">
        <w:rPr>
          <w:rFonts w:cstheme="minorHAnsi"/>
          <w:sz w:val="28"/>
          <w:szCs w:val="28"/>
        </w:rPr>
        <w:t xml:space="preserve">The mandate of the NCTR is an example of the role of archives, as the conference theme suggests, to bring a certain kind of decolonization to a profoundly colonized history. </w:t>
      </w:r>
      <w:r w:rsidRPr="00CF2272">
        <w:rPr>
          <w:rFonts w:cstheme="minorHAnsi"/>
          <w:sz w:val="28"/>
          <w:szCs w:val="28"/>
          <w:lang w:val="en-CA"/>
        </w:rPr>
        <w:t>Unstated in its mandate, the ultimate NCTR goal is to create a new conceptual space where the holistic and immanent orders of Indigenous communities can grow uninhibited, to cross-pollinate with the rational, individual Enlightenment principles of European thought</w:t>
      </w:r>
      <w:r w:rsidR="00E25D29">
        <w:rPr>
          <w:rFonts w:cstheme="minorHAnsi"/>
          <w:sz w:val="28"/>
          <w:szCs w:val="28"/>
          <w:lang w:val="en-CA"/>
        </w:rPr>
        <w:t xml:space="preserve"> </w:t>
      </w:r>
      <w:r w:rsidRPr="00CF2272">
        <w:rPr>
          <w:rFonts w:cstheme="minorHAnsi"/>
          <w:sz w:val="28"/>
          <w:szCs w:val="28"/>
          <w:lang w:val="en-CA"/>
        </w:rPr>
        <w:t>to seed hybrid flowers to grow freely in a colourful garden of collective and individual rights unhindered by centuries of imperial judgement.</w:t>
      </w:r>
      <w:r w:rsidR="004E1D15">
        <w:rPr>
          <w:rFonts w:cstheme="minorHAnsi"/>
          <w:sz w:val="28"/>
          <w:szCs w:val="28"/>
          <w:lang w:val="en-CA"/>
        </w:rPr>
        <w:t xml:space="preserve"> It is time for our knowledge professionals to stop behaving like displaced Europeans, and like Murray Sinclair, go back to the land and rediscover the thoughts and Ideas of </w:t>
      </w:r>
      <w:r w:rsidR="00B9371A">
        <w:rPr>
          <w:rFonts w:cstheme="minorHAnsi"/>
          <w:sz w:val="28"/>
          <w:szCs w:val="28"/>
          <w:lang w:val="en-CA"/>
        </w:rPr>
        <w:t>identity, belonging, and community,</w:t>
      </w:r>
      <w:r w:rsidR="00E25D29">
        <w:rPr>
          <w:rFonts w:cstheme="minorHAnsi"/>
          <w:sz w:val="28"/>
          <w:szCs w:val="28"/>
          <w:lang w:val="en-CA"/>
        </w:rPr>
        <w:t xml:space="preserve"> where</w:t>
      </w:r>
      <w:r w:rsidR="00B9371A">
        <w:rPr>
          <w:rFonts w:cstheme="minorHAnsi"/>
          <w:sz w:val="28"/>
          <w:szCs w:val="28"/>
          <w:lang w:val="en-CA"/>
        </w:rPr>
        <w:t xml:space="preserve"> they once grew freely.</w:t>
      </w:r>
    </w:p>
    <w:p w14:paraId="7CB8FA58" w14:textId="77777777" w:rsidR="00842E9B" w:rsidRPr="00842E9B" w:rsidRDefault="00842E9B" w:rsidP="007B5399">
      <w:pPr>
        <w:spacing w:line="360" w:lineRule="auto"/>
        <w:rPr>
          <w:rFonts w:cstheme="minorHAnsi"/>
          <w:sz w:val="28"/>
          <w:szCs w:val="28"/>
          <w:lang w:val="en-CA"/>
        </w:rPr>
      </w:pPr>
    </w:p>
    <w:p w14:paraId="3BDF361B" w14:textId="77777777" w:rsidR="00AC4928" w:rsidRPr="00CF2272" w:rsidRDefault="00AC4928" w:rsidP="007B5399">
      <w:pPr>
        <w:spacing w:line="360" w:lineRule="auto"/>
        <w:rPr>
          <w:rFonts w:cstheme="minorHAnsi"/>
          <w:sz w:val="28"/>
          <w:szCs w:val="28"/>
        </w:rPr>
      </w:pPr>
    </w:p>
    <w:p w14:paraId="5294D1F4" w14:textId="77777777" w:rsidR="00725663" w:rsidRPr="00CF2272" w:rsidRDefault="00725663" w:rsidP="007B5399">
      <w:pPr>
        <w:spacing w:line="360" w:lineRule="auto"/>
        <w:rPr>
          <w:rFonts w:cstheme="minorHAnsi"/>
          <w:sz w:val="28"/>
          <w:szCs w:val="28"/>
        </w:rPr>
      </w:pPr>
    </w:p>
    <w:sectPr w:rsidR="00725663" w:rsidRPr="00CF2272">
      <w:headerReference w:type="even" r:id="rId6"/>
      <w:headerReference w:type="default" r:id="rId7"/>
      <w:footerReference w:type="even" r:id="rId8"/>
      <w:footerReference w:type="default" r:id="rId9"/>
      <w:headerReference w:type="first" r:id="rId10"/>
      <w:footerReference w:type="firs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865018E" w14:textId="77777777" w:rsidR="002D3B79" w:rsidRDefault="002D3B79" w:rsidP="007B5399">
      <w:pPr>
        <w:spacing w:after="0" w:line="240" w:lineRule="auto"/>
      </w:pPr>
      <w:r>
        <w:separator/>
      </w:r>
    </w:p>
  </w:endnote>
  <w:endnote w:type="continuationSeparator" w:id="0">
    <w:p w14:paraId="43C0DBBD" w14:textId="77777777" w:rsidR="002D3B79" w:rsidRDefault="002D3B79" w:rsidP="007B5399">
      <w:pPr>
        <w:spacing w:after="0" w:line="240" w:lineRule="auto"/>
      </w:pPr>
      <w:r>
        <w:continuationSeparator/>
      </w:r>
    </w:p>
  </w:endnote>
  <w:endnote w:type="continuationNotice" w:id="1">
    <w:p w14:paraId="0DD4D964" w14:textId="77777777" w:rsidR="002D3B79" w:rsidRDefault="002D3B7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47CAF54" w14:textId="77777777" w:rsidR="009F05A2" w:rsidRDefault="009F05A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3B66AD4" w14:textId="77777777" w:rsidR="009F05A2" w:rsidRDefault="009F05A2">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61E5923" w14:textId="77777777" w:rsidR="009F05A2" w:rsidRDefault="009F05A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DB9B329" w14:textId="77777777" w:rsidR="002D3B79" w:rsidRDefault="002D3B79" w:rsidP="007B5399">
      <w:pPr>
        <w:spacing w:after="0" w:line="240" w:lineRule="auto"/>
      </w:pPr>
      <w:r>
        <w:separator/>
      </w:r>
    </w:p>
  </w:footnote>
  <w:footnote w:type="continuationSeparator" w:id="0">
    <w:p w14:paraId="724A115A" w14:textId="77777777" w:rsidR="002D3B79" w:rsidRDefault="002D3B79" w:rsidP="007B5399">
      <w:pPr>
        <w:spacing w:after="0" w:line="240" w:lineRule="auto"/>
      </w:pPr>
      <w:r>
        <w:continuationSeparator/>
      </w:r>
    </w:p>
  </w:footnote>
  <w:footnote w:type="continuationNotice" w:id="1">
    <w:p w14:paraId="7866F6DA" w14:textId="77777777" w:rsidR="002D3B79" w:rsidRDefault="002D3B79">
      <w:pPr>
        <w:spacing w:after="0" w:line="240" w:lineRule="auto"/>
      </w:pPr>
    </w:p>
  </w:footnote>
  <w:footnote w:id="2">
    <w:p w14:paraId="141E1B4D" w14:textId="77777777" w:rsidR="007B5399" w:rsidRPr="00600EF3" w:rsidRDefault="007B5399" w:rsidP="007B5399">
      <w:pPr>
        <w:pStyle w:val="FootnoteText"/>
        <w:rPr>
          <w:sz w:val="18"/>
          <w:szCs w:val="18"/>
        </w:rPr>
      </w:pPr>
      <w:r w:rsidRPr="00600EF3">
        <w:rPr>
          <w:rStyle w:val="FootnoteReference"/>
          <w:sz w:val="18"/>
          <w:szCs w:val="18"/>
        </w:rPr>
        <w:footnoteRef/>
      </w:r>
      <w:r w:rsidRPr="00600EF3">
        <w:rPr>
          <w:sz w:val="18"/>
          <w:szCs w:val="18"/>
        </w:rPr>
        <w:t xml:space="preserve"> </w:t>
      </w:r>
      <w:r w:rsidRPr="00600EF3">
        <w:rPr>
          <w:rFonts w:ascii="Times New Roman" w:hAnsi="Times New Roman" w:cs="Times New Roman"/>
          <w:sz w:val="18"/>
          <w:szCs w:val="18"/>
        </w:rPr>
        <w:t xml:space="preserve">The National Centre for Truth and Reconciliation (NCTR) was created as part of the mandate of the Truth and Reconciliation Commission of Canada (TRC). </w:t>
      </w:r>
      <w:r>
        <w:rPr>
          <w:rFonts w:ascii="Times New Roman" w:hAnsi="Times New Roman" w:cs="Times New Roman"/>
          <w:sz w:val="18"/>
          <w:szCs w:val="18"/>
        </w:rPr>
        <w:t xml:space="preserve">The TRC was part of the Indian Residential School Settlement Agreement (IRSAA). This agreement brought together government authorities, Christian religious orders, and Indigenous representatives to address the harms Canada’s residential school program committed against the Indigenous societies of Canada. </w:t>
      </w:r>
      <w:r w:rsidRPr="00600EF3">
        <w:rPr>
          <w:rFonts w:ascii="Times New Roman" w:hAnsi="Times New Roman" w:cs="Times New Roman"/>
          <w:sz w:val="18"/>
          <w:szCs w:val="18"/>
        </w:rPr>
        <w:t>The TRC was charged to listen to Survivors, their families, communities, and others affected by the residential school system</w:t>
      </w:r>
      <w:r>
        <w:rPr>
          <w:rFonts w:ascii="Times New Roman" w:hAnsi="Times New Roman" w:cs="Times New Roman"/>
          <w:sz w:val="18"/>
          <w:szCs w:val="18"/>
        </w:rPr>
        <w:t xml:space="preserve">, aid in their healing, </w:t>
      </w:r>
      <w:r w:rsidRPr="00600EF3">
        <w:rPr>
          <w:rFonts w:ascii="Times New Roman" w:hAnsi="Times New Roman" w:cs="Times New Roman"/>
          <w:sz w:val="18"/>
          <w:szCs w:val="18"/>
        </w:rPr>
        <w:t>and educate Canadians about their experiences. The resulting collection of statements, documents and other materials now forms the sacred heart of the NCTR.</w:t>
      </w:r>
      <w:r>
        <w:rPr>
          <w:rFonts w:ascii="Times New Roman" w:hAnsi="Times New Roman" w:cs="Times New Roman"/>
          <w:sz w:val="18"/>
          <w:szCs w:val="18"/>
        </w:rPr>
        <w:t xml:space="preserve"> </w:t>
      </w:r>
      <w:r w:rsidRPr="00600EF3">
        <w:rPr>
          <w:rFonts w:ascii="Times New Roman" w:hAnsi="Times New Roman" w:cs="Times New Roman"/>
          <w:sz w:val="18"/>
          <w:szCs w:val="18"/>
        </w:rPr>
        <w:t>The NCTR Archives and Collections is the foundation for ongoing learning and research. Here, Survivors, their families, educators, researchers, and the public can examine the residential school system more deeply with the goal of fostering reconciliation and healing.</w:t>
      </w:r>
      <w:r>
        <w:rPr>
          <w:rFonts w:ascii="Times New Roman" w:hAnsi="Times New Roman" w:cs="Times New Roman"/>
          <w:sz w:val="18"/>
          <w:szCs w:val="18"/>
        </w:rPr>
        <w:t xml:space="preserve"> For more information on the NCTR see: </w:t>
      </w:r>
      <w:hyperlink r:id="rId1" w:history="1">
        <w:r w:rsidRPr="00734358">
          <w:rPr>
            <w:rStyle w:val="Hyperlink"/>
            <w:rFonts w:ascii="Times New Roman" w:hAnsi="Times New Roman" w:cs="Times New Roman"/>
            <w:sz w:val="18"/>
            <w:szCs w:val="18"/>
          </w:rPr>
          <w:t>https://nctr.ca/</w:t>
        </w:r>
      </w:hyperlink>
      <w:r>
        <w:rPr>
          <w:rFonts w:ascii="Times New Roman" w:hAnsi="Times New Roman" w:cs="Times New Roman"/>
          <w:sz w:val="18"/>
          <w:szCs w:val="18"/>
        </w:rPr>
        <w:t xml:space="preserve">. </w:t>
      </w:r>
    </w:p>
  </w:footnote>
  <w:footnote w:id="3">
    <w:p w14:paraId="620A25D9" w14:textId="77777777" w:rsidR="007B5399" w:rsidRPr="0044013C" w:rsidRDefault="007B5399" w:rsidP="007B5399">
      <w:pPr>
        <w:pStyle w:val="Default"/>
      </w:pPr>
      <w:r w:rsidRPr="00600EF3">
        <w:rPr>
          <w:rStyle w:val="FootnoteReference"/>
          <w:rFonts w:ascii="Times New Roman" w:hAnsi="Times New Roman" w:cs="Times New Roman"/>
          <w:sz w:val="18"/>
          <w:szCs w:val="18"/>
        </w:rPr>
        <w:footnoteRef/>
      </w:r>
      <w:r w:rsidRPr="00600EF3">
        <w:rPr>
          <w:rFonts w:ascii="Times New Roman" w:hAnsi="Times New Roman" w:cs="Times New Roman"/>
          <w:sz w:val="18"/>
          <w:szCs w:val="18"/>
        </w:rPr>
        <w:t xml:space="preserve"> Honorable Murray Sinclair, P.C., O.C. “Special Presentation to the National Centre for Truth and Reconciliation (NCTR),” October 12 (?) 2022.</w:t>
      </w:r>
      <w:r>
        <w:rPr>
          <w:rFonts w:ascii="Times New Roman" w:hAnsi="Times New Roman" w:cs="Times New Roman"/>
          <w:sz w:val="18"/>
          <w:szCs w:val="18"/>
        </w:rPr>
        <w:t xml:space="preserve"> On the question of preserving and sharing Indigenous law in public practice see Val Napoleon, “Did I Break It? Recording Indigenous (Customary) Law,” PER/PELJ 2019(22), </w:t>
      </w:r>
      <w:proofErr w:type="spellStart"/>
      <w:r>
        <w:rPr>
          <w:rFonts w:ascii="Times New Roman" w:hAnsi="Times New Roman" w:cs="Times New Roman"/>
          <w:sz w:val="18"/>
          <w:szCs w:val="18"/>
        </w:rPr>
        <w:t>DOI:</w:t>
      </w:r>
      <w:hyperlink r:id="rId2" w:history="1">
        <w:r w:rsidRPr="0044013C">
          <w:rPr>
            <w:rStyle w:val="Hyperlink"/>
            <w:rFonts w:ascii="Times New Roman" w:hAnsi="Times New Roman" w:cs="Times New Roman"/>
            <w:sz w:val="18"/>
            <w:szCs w:val="18"/>
          </w:rPr>
          <w:t>http</w:t>
        </w:r>
        <w:proofErr w:type="spellEnd"/>
        <w:r w:rsidRPr="0044013C">
          <w:rPr>
            <w:rStyle w:val="Hyperlink"/>
            <w:rFonts w:ascii="Times New Roman" w:hAnsi="Times New Roman" w:cs="Times New Roman"/>
            <w:sz w:val="18"/>
            <w:szCs w:val="18"/>
          </w:rPr>
          <w:t>://dx.doi.org/10.17159/1727-3781/2019/v22i0a7588</w:t>
        </w:r>
      </w:hyperlink>
      <w:r w:rsidRPr="0044013C">
        <w:rPr>
          <w:rFonts w:ascii="Times New Roman" w:hAnsi="Times New Roman" w:cs="Times New Roman"/>
          <w:sz w:val="18"/>
          <w:szCs w:val="18"/>
        </w:rPr>
        <w:t xml:space="preserve">. </w:t>
      </w:r>
    </w:p>
  </w:footnote>
  <w:footnote w:id="4">
    <w:p w14:paraId="5C680CBF" w14:textId="77777777" w:rsidR="003349FB" w:rsidRPr="00F93763" w:rsidRDefault="003349FB" w:rsidP="003349FB">
      <w:pPr>
        <w:pStyle w:val="FootnoteText"/>
      </w:pPr>
      <w:r>
        <w:rPr>
          <w:rStyle w:val="FootnoteReference"/>
        </w:rPr>
        <w:footnoteRef/>
      </w:r>
      <w:r>
        <w:t xml:space="preserve"> </w:t>
      </w:r>
      <w:r>
        <w:rPr>
          <w:rFonts w:ascii="Times New Roman" w:hAnsi="Times New Roman" w:cs="Times New Roman"/>
          <w:sz w:val="18"/>
          <w:szCs w:val="18"/>
        </w:rPr>
        <w:t>Knowledge Keeper, Elder</w:t>
      </w:r>
      <w:r w:rsidRPr="00F93763">
        <w:rPr>
          <w:rFonts w:ascii="Times New Roman" w:hAnsi="Times New Roman" w:cs="Times New Roman"/>
          <w:sz w:val="18"/>
          <w:szCs w:val="18"/>
        </w:rPr>
        <w:t xml:space="preserve"> Harry Bone, </w:t>
      </w:r>
      <w:r>
        <w:rPr>
          <w:rFonts w:ascii="Times New Roman" w:hAnsi="Times New Roman" w:cs="Times New Roman"/>
          <w:sz w:val="18"/>
          <w:szCs w:val="18"/>
        </w:rPr>
        <w:t xml:space="preserve">C.M. is from the </w:t>
      </w:r>
      <w:proofErr w:type="spellStart"/>
      <w:r>
        <w:rPr>
          <w:rFonts w:ascii="Times New Roman" w:hAnsi="Times New Roman" w:cs="Times New Roman"/>
          <w:sz w:val="18"/>
          <w:szCs w:val="18"/>
        </w:rPr>
        <w:t>Keeseekoowenin</w:t>
      </w:r>
      <w:proofErr w:type="spellEnd"/>
      <w:r>
        <w:rPr>
          <w:rFonts w:ascii="Times New Roman" w:hAnsi="Times New Roman" w:cs="Times New Roman"/>
          <w:sz w:val="18"/>
          <w:szCs w:val="18"/>
        </w:rPr>
        <w:t xml:space="preserve"> Ojibway Nation. He has served as Director of Native Programs for the Federal Government, Vice-President of Aboriginal Cultural Centres of Canda, and as Chairperson of the Treaty Relations Commission of Manitoba (TRCM) Council of Elders and Assembly of Manitoba Chiefs (AMC) Council of Elders. </w:t>
      </w:r>
    </w:p>
  </w:footnote>
  <w:footnote w:id="5">
    <w:p w14:paraId="38E320B7" w14:textId="77777777" w:rsidR="00F5312D" w:rsidRPr="00E1404F" w:rsidRDefault="00F5312D" w:rsidP="00F5312D">
      <w:pPr>
        <w:pStyle w:val="FootnoteText"/>
        <w:rPr>
          <w:rFonts w:ascii="Times New Roman" w:hAnsi="Times New Roman" w:cs="Times New Roman"/>
          <w:sz w:val="18"/>
          <w:szCs w:val="18"/>
        </w:rPr>
      </w:pPr>
      <w:r w:rsidRPr="00E1404F">
        <w:rPr>
          <w:rStyle w:val="FootnoteReference"/>
          <w:rFonts w:ascii="Times New Roman" w:hAnsi="Times New Roman" w:cs="Times New Roman"/>
          <w:sz w:val="18"/>
          <w:szCs w:val="18"/>
        </w:rPr>
        <w:footnoteRef/>
      </w:r>
      <w:r w:rsidRPr="00E1404F">
        <w:rPr>
          <w:rFonts w:ascii="Times New Roman" w:hAnsi="Times New Roman" w:cs="Times New Roman"/>
          <w:sz w:val="18"/>
          <w:szCs w:val="18"/>
        </w:rPr>
        <w:t xml:space="preserve"> </w:t>
      </w:r>
      <w:proofErr w:type="spellStart"/>
      <w:r w:rsidRPr="00C83358">
        <w:rPr>
          <w:rFonts w:ascii="Times New Roman" w:hAnsi="Times New Roman" w:cs="Times New Roman"/>
          <w:sz w:val="18"/>
          <w:szCs w:val="18"/>
        </w:rPr>
        <w:t>Giizih</w:t>
      </w:r>
      <w:proofErr w:type="spellEnd"/>
      <w:r w:rsidRPr="00C83358">
        <w:rPr>
          <w:rFonts w:ascii="Times New Roman" w:hAnsi="Times New Roman" w:cs="Times New Roman"/>
          <w:sz w:val="18"/>
          <w:szCs w:val="18"/>
        </w:rPr>
        <w:t>-Inini</w:t>
      </w:r>
      <w:r w:rsidRPr="00E1404F">
        <w:rPr>
          <w:rFonts w:ascii="Times New Roman" w:hAnsi="Times New Roman" w:cs="Times New Roman"/>
          <w:i/>
          <w:iCs/>
          <w:sz w:val="18"/>
          <w:szCs w:val="18"/>
        </w:rPr>
        <w:t xml:space="preserve"> </w:t>
      </w:r>
      <w:r w:rsidRPr="00E1404F">
        <w:rPr>
          <w:rFonts w:ascii="Times New Roman" w:hAnsi="Times New Roman" w:cs="Times New Roman"/>
          <w:sz w:val="18"/>
          <w:szCs w:val="18"/>
        </w:rPr>
        <w:t xml:space="preserve">[Elder Harry Bone, O.C.], lecture to University of Manitoba Graduate </w:t>
      </w:r>
      <w:r>
        <w:rPr>
          <w:rFonts w:ascii="Times New Roman" w:hAnsi="Times New Roman" w:cs="Times New Roman"/>
          <w:sz w:val="18"/>
          <w:szCs w:val="18"/>
        </w:rPr>
        <w:t>Archival Studies</w:t>
      </w:r>
      <w:r w:rsidRPr="00E1404F">
        <w:rPr>
          <w:rFonts w:ascii="Times New Roman" w:hAnsi="Times New Roman" w:cs="Times New Roman"/>
          <w:sz w:val="18"/>
          <w:szCs w:val="18"/>
        </w:rPr>
        <w:t xml:space="preserve"> class, HIST 7372, “History of Archiving and the Archival Record,” </w:t>
      </w:r>
      <w:r>
        <w:rPr>
          <w:rFonts w:ascii="Times New Roman" w:hAnsi="Times New Roman" w:cs="Times New Roman"/>
          <w:sz w:val="18"/>
          <w:szCs w:val="18"/>
        </w:rPr>
        <w:t>March 8</w:t>
      </w:r>
      <w:r w:rsidRPr="00E1404F">
        <w:rPr>
          <w:rFonts w:ascii="Times New Roman" w:hAnsi="Times New Roman" w:cs="Times New Roman"/>
          <w:sz w:val="18"/>
          <w:szCs w:val="18"/>
        </w:rPr>
        <w:t>, 2023.</w:t>
      </w:r>
    </w:p>
  </w:footnote>
  <w:footnote w:id="6">
    <w:p w14:paraId="6C1417F4" w14:textId="77777777" w:rsidR="004509F5" w:rsidRPr="00397393" w:rsidRDefault="004509F5" w:rsidP="004509F5">
      <w:pPr>
        <w:pStyle w:val="FootnoteText"/>
        <w:rPr>
          <w:rFonts w:ascii="Times New Roman" w:hAnsi="Times New Roman" w:cs="Times New Roman"/>
        </w:rPr>
      </w:pPr>
      <w:r>
        <w:rPr>
          <w:rStyle w:val="FootnoteReference"/>
        </w:rPr>
        <w:footnoteRef/>
      </w:r>
      <w:r>
        <w:t xml:space="preserve"> </w:t>
      </w:r>
      <w:r w:rsidRPr="00397393">
        <w:rPr>
          <w:rFonts w:ascii="Times New Roman" w:hAnsi="Times New Roman" w:cs="Times New Roman"/>
        </w:rPr>
        <w:t xml:space="preserve">The </w:t>
      </w:r>
      <w:r>
        <w:rPr>
          <w:rFonts w:ascii="Times New Roman" w:hAnsi="Times New Roman" w:cs="Times New Roman"/>
        </w:rPr>
        <w:t xml:space="preserve">most </w:t>
      </w:r>
      <w:r w:rsidRPr="00397393">
        <w:rPr>
          <w:rFonts w:ascii="Times New Roman" w:hAnsi="Times New Roman" w:cs="Times New Roman"/>
        </w:rPr>
        <w:t>known government action against the practice of Indigenous ceremony</w:t>
      </w:r>
      <w:r>
        <w:rPr>
          <w:rFonts w:ascii="Times New Roman" w:hAnsi="Times New Roman" w:cs="Times New Roman"/>
        </w:rPr>
        <w:t>, immanent law,</w:t>
      </w:r>
      <w:r w:rsidRPr="00397393">
        <w:rPr>
          <w:rFonts w:ascii="Times New Roman" w:hAnsi="Times New Roman" w:cs="Times New Roman"/>
        </w:rPr>
        <w:t xml:space="preserve"> and social protocol is the restrictive laws applied to Potlatch ceremonies performed by Indigenous communities on the West Coast of Canada. The first anti-Potlatch proclamation was issued in 1883. The first formal anti-Potlatch legislation was passed </w:t>
      </w:r>
      <w:r>
        <w:rPr>
          <w:rFonts w:ascii="Times New Roman" w:hAnsi="Times New Roman" w:cs="Times New Roman"/>
        </w:rPr>
        <w:t xml:space="preserve">as part of the </w:t>
      </w:r>
      <w:r w:rsidRPr="00862F11">
        <w:rPr>
          <w:rFonts w:ascii="Times New Roman" w:hAnsi="Times New Roman" w:cs="Times New Roman"/>
          <w:i/>
          <w:iCs/>
        </w:rPr>
        <w:t>Indian Act</w:t>
      </w:r>
      <w:r>
        <w:rPr>
          <w:rFonts w:ascii="Times New Roman" w:hAnsi="Times New Roman" w:cs="Times New Roman"/>
        </w:rPr>
        <w:t xml:space="preserve"> in 1</w:t>
      </w:r>
      <w:r w:rsidRPr="00397393">
        <w:rPr>
          <w:rFonts w:ascii="Times New Roman" w:hAnsi="Times New Roman" w:cs="Times New Roman"/>
        </w:rPr>
        <w:t>885</w:t>
      </w:r>
      <w:r>
        <w:rPr>
          <w:rFonts w:ascii="Times New Roman" w:hAnsi="Times New Roman" w:cs="Times New Roman"/>
        </w:rPr>
        <w:t xml:space="preserve">. For a study on the repatriation of confiscated Potlatch materials see Emma Louise Knight, “The </w:t>
      </w:r>
      <w:proofErr w:type="spellStart"/>
      <w:r>
        <w:rPr>
          <w:rFonts w:ascii="Times New Roman" w:hAnsi="Times New Roman" w:cs="Times New Roman"/>
        </w:rPr>
        <w:t>Kwakw</w:t>
      </w:r>
      <w:r w:rsidRPr="00C9506D">
        <w:rPr>
          <w:rFonts w:ascii="Times New Roman" w:hAnsi="Times New Roman" w:cs="Times New Roman"/>
          <w:u w:val="single"/>
        </w:rPr>
        <w:t>a</w:t>
      </w:r>
      <w:r>
        <w:rPr>
          <w:rFonts w:ascii="Times New Roman" w:hAnsi="Times New Roman" w:cs="Times New Roman"/>
        </w:rPr>
        <w:t>k’w</w:t>
      </w:r>
      <w:r w:rsidRPr="00366E1F">
        <w:rPr>
          <w:rFonts w:ascii="Times New Roman" w:hAnsi="Times New Roman" w:cs="Times New Roman"/>
          <w:u w:val="single"/>
        </w:rPr>
        <w:t>a</w:t>
      </w:r>
      <w:r>
        <w:rPr>
          <w:rFonts w:ascii="Times New Roman" w:hAnsi="Times New Roman" w:cs="Times New Roman"/>
        </w:rPr>
        <w:t>kw</w:t>
      </w:r>
      <w:proofErr w:type="spellEnd"/>
      <w:r>
        <w:rPr>
          <w:rFonts w:ascii="Times New Roman" w:hAnsi="Times New Roman" w:cs="Times New Roman"/>
        </w:rPr>
        <w:t xml:space="preserve"> Potlatch Collection and its Many Social Contexts: Constructing a Collection’s Object Biography,” </w:t>
      </w:r>
      <w:r w:rsidRPr="00C128B6">
        <w:rPr>
          <w:rFonts w:ascii="Times New Roman" w:hAnsi="Times New Roman" w:cs="Times New Roman"/>
          <w:i/>
          <w:iCs/>
        </w:rPr>
        <w:t>MA Thesis,</w:t>
      </w:r>
      <w:r>
        <w:rPr>
          <w:rFonts w:ascii="Times New Roman" w:hAnsi="Times New Roman" w:cs="Times New Roman"/>
        </w:rPr>
        <w:t xml:space="preserve"> Faculty of Information, University of Toronto, 2013. Restrictions on the Sundance ceremony and other Indigenous cultural expressions would follow.</w:t>
      </w:r>
      <w:r w:rsidRPr="00397393">
        <w:rPr>
          <w:rFonts w:ascii="Times New Roman" w:hAnsi="Times New Roman" w:cs="Times New Roman"/>
        </w:rPr>
        <w:t xml:space="preserve"> </w:t>
      </w:r>
      <w:r>
        <w:rPr>
          <w:rFonts w:ascii="Times New Roman" w:hAnsi="Times New Roman" w:cs="Times New Roman"/>
        </w:rPr>
        <w:t xml:space="preserve">The Sun Dance was outlawed under the </w:t>
      </w:r>
      <w:r w:rsidRPr="0036028B">
        <w:rPr>
          <w:rFonts w:ascii="Times New Roman" w:hAnsi="Times New Roman" w:cs="Times New Roman"/>
          <w:i/>
          <w:iCs/>
        </w:rPr>
        <w:t>Indian Act</w:t>
      </w:r>
      <w:r>
        <w:rPr>
          <w:rFonts w:ascii="Times New Roman" w:hAnsi="Times New Roman" w:cs="Times New Roman"/>
        </w:rPr>
        <w:t xml:space="preserve"> of 1895. </w:t>
      </w:r>
      <w:r w:rsidRPr="00397393">
        <w:rPr>
          <w:rFonts w:ascii="Times New Roman" w:hAnsi="Times New Roman" w:cs="Times New Roman"/>
        </w:rPr>
        <w:t xml:space="preserve">Although </w:t>
      </w:r>
      <w:r>
        <w:rPr>
          <w:rFonts w:ascii="Times New Roman" w:hAnsi="Times New Roman" w:cs="Times New Roman"/>
        </w:rPr>
        <w:t>anti-Potlatch</w:t>
      </w:r>
      <w:r w:rsidRPr="00397393">
        <w:rPr>
          <w:rFonts w:ascii="Times New Roman" w:hAnsi="Times New Roman" w:cs="Times New Roman"/>
        </w:rPr>
        <w:t xml:space="preserve"> legislation was removed in 1951, many Indigenous communities remained cautious in holding public Potlatches. For an example of the enforcement of the Potlatch ban, see Tina Loo, “Dan Cranmer’s Potlatch: Law as Coercion, Symbol, and Rhetoric in British Columbia, 1884-1951,” </w:t>
      </w:r>
      <w:r w:rsidRPr="00397393">
        <w:rPr>
          <w:rFonts w:ascii="Times New Roman" w:hAnsi="Times New Roman" w:cs="Times New Roman"/>
          <w:i/>
          <w:iCs/>
        </w:rPr>
        <w:t>Canadian Historical Review</w:t>
      </w:r>
      <w:r w:rsidRPr="00397393">
        <w:rPr>
          <w:rFonts w:ascii="Times New Roman" w:hAnsi="Times New Roman" w:cs="Times New Roman"/>
        </w:rPr>
        <w:t xml:space="preserve">, vol. 73, no. 2, (June 1992), pp. 125-165. For a </w:t>
      </w:r>
      <w:r>
        <w:rPr>
          <w:rFonts w:ascii="Times New Roman" w:hAnsi="Times New Roman" w:cs="Times New Roman"/>
        </w:rPr>
        <w:t xml:space="preserve">postmodern </w:t>
      </w:r>
      <w:r w:rsidRPr="00397393">
        <w:rPr>
          <w:rFonts w:ascii="Times New Roman" w:hAnsi="Times New Roman" w:cs="Times New Roman"/>
        </w:rPr>
        <w:t xml:space="preserve">study of the enforcement of the Potlatch restriction see Christopher Bracken, </w:t>
      </w:r>
      <w:r w:rsidRPr="00397393">
        <w:rPr>
          <w:rFonts w:ascii="Times New Roman" w:hAnsi="Times New Roman" w:cs="Times New Roman"/>
          <w:i/>
          <w:iCs/>
        </w:rPr>
        <w:t>The Potlatch Papers: A Colonial Case</w:t>
      </w:r>
      <w:r w:rsidRPr="00397393">
        <w:rPr>
          <w:rFonts w:ascii="Times New Roman" w:hAnsi="Times New Roman" w:cs="Times New Roman"/>
        </w:rPr>
        <w:t xml:space="preserve"> </w:t>
      </w:r>
      <w:r w:rsidRPr="00397393">
        <w:rPr>
          <w:rFonts w:ascii="Times New Roman" w:hAnsi="Times New Roman" w:cs="Times New Roman"/>
          <w:i/>
          <w:iCs/>
        </w:rPr>
        <w:t>History</w:t>
      </w:r>
      <w:r w:rsidRPr="00397393">
        <w:rPr>
          <w:rFonts w:ascii="Times New Roman" w:hAnsi="Times New Roman" w:cs="Times New Roman"/>
        </w:rPr>
        <w:t>, Chicago: University of Chicago Press, 1997.</w:t>
      </w:r>
      <w:r>
        <w:rPr>
          <w:rFonts w:ascii="Times New Roman" w:hAnsi="Times New Roman" w:cs="Times New Roman"/>
        </w:rPr>
        <w:t xml:space="preserve"> The legislated cognitive elimination of Indigenous knowledge practices occurred in colonial jurisdictions around the globe. In New Zealand in 1907 settler society passed the </w:t>
      </w:r>
      <w:r w:rsidRPr="003C2E7D">
        <w:rPr>
          <w:rFonts w:ascii="Times New Roman" w:hAnsi="Times New Roman" w:cs="Times New Roman"/>
          <w:i/>
          <w:iCs/>
        </w:rPr>
        <w:t>Tohunga</w:t>
      </w:r>
      <w:r>
        <w:rPr>
          <w:rFonts w:ascii="Times New Roman" w:hAnsi="Times New Roman" w:cs="Times New Roman"/>
        </w:rPr>
        <w:t xml:space="preserve"> </w:t>
      </w:r>
      <w:r w:rsidRPr="003C2E7D">
        <w:rPr>
          <w:rFonts w:ascii="Times New Roman" w:hAnsi="Times New Roman" w:cs="Times New Roman"/>
          <w:i/>
          <w:iCs/>
        </w:rPr>
        <w:t>Suppression Act</w:t>
      </w:r>
      <w:r>
        <w:rPr>
          <w:rFonts w:ascii="Times New Roman" w:hAnsi="Times New Roman" w:cs="Times New Roman"/>
          <w:i/>
          <w:iCs/>
        </w:rPr>
        <w:t xml:space="preserve">, </w:t>
      </w:r>
      <w:r>
        <w:rPr>
          <w:rFonts w:ascii="Times New Roman" w:hAnsi="Times New Roman" w:cs="Times New Roman"/>
        </w:rPr>
        <w:t xml:space="preserve">a piece of legislation designed to prohibit the </w:t>
      </w:r>
      <w:r w:rsidRPr="00AF0C64">
        <w:rPr>
          <w:rFonts w:ascii="Times New Roman" w:hAnsi="Times New Roman" w:cs="Times New Roman"/>
          <w:i/>
          <w:iCs/>
        </w:rPr>
        <w:t>tohunga</w:t>
      </w:r>
      <w:r>
        <w:rPr>
          <w:rFonts w:ascii="Times New Roman" w:hAnsi="Times New Roman" w:cs="Times New Roman"/>
        </w:rPr>
        <w:t xml:space="preserve"> (traditional </w:t>
      </w:r>
      <w:r w:rsidRPr="00D5133F">
        <w:rPr>
          <w:rFonts w:ascii="Times New Roman" w:hAnsi="Times New Roman" w:cs="Times New Roman"/>
          <w:i/>
          <w:iCs/>
        </w:rPr>
        <w:t>Māori</w:t>
      </w:r>
      <w:r>
        <w:rPr>
          <w:rFonts w:ascii="Times New Roman" w:hAnsi="Times New Roman" w:cs="Times New Roman"/>
        </w:rPr>
        <w:t xml:space="preserve"> healers) from sharing their traditional knowledge through community cultural protocols. The </w:t>
      </w:r>
      <w:r w:rsidRPr="003C2E7D">
        <w:rPr>
          <w:rFonts w:ascii="Times New Roman" w:hAnsi="Times New Roman" w:cs="Times New Roman"/>
          <w:i/>
          <w:iCs/>
        </w:rPr>
        <w:t>Act</w:t>
      </w:r>
      <w:r>
        <w:rPr>
          <w:rFonts w:ascii="Times New Roman" w:hAnsi="Times New Roman" w:cs="Times New Roman"/>
        </w:rPr>
        <w:t xml:space="preserve"> specifically prohibited the </w:t>
      </w:r>
      <w:r w:rsidRPr="003C2E7D">
        <w:rPr>
          <w:rFonts w:ascii="Times New Roman" w:hAnsi="Times New Roman" w:cs="Times New Roman"/>
          <w:i/>
          <w:iCs/>
        </w:rPr>
        <w:t>tohunga</w:t>
      </w:r>
      <w:r>
        <w:rPr>
          <w:rFonts w:ascii="Times New Roman" w:hAnsi="Times New Roman" w:cs="Times New Roman"/>
        </w:rPr>
        <w:t xml:space="preserve"> from performing “quackery,” otherwise described as traditional medical treatment. For an overview of this cognitive erasure see Linda Tuhiwai </w:t>
      </w:r>
      <w:proofErr w:type="gramStart"/>
      <w:r>
        <w:rPr>
          <w:rFonts w:ascii="Times New Roman" w:hAnsi="Times New Roman" w:cs="Times New Roman"/>
        </w:rPr>
        <w:t xml:space="preserve">Smith,  </w:t>
      </w:r>
      <w:r w:rsidRPr="005439EB">
        <w:rPr>
          <w:rFonts w:ascii="Times New Roman" w:hAnsi="Times New Roman" w:cs="Times New Roman"/>
          <w:i/>
          <w:iCs/>
        </w:rPr>
        <w:t>Decolonizing</w:t>
      </w:r>
      <w:proofErr w:type="gramEnd"/>
      <w:r w:rsidRPr="005439EB">
        <w:rPr>
          <w:rFonts w:ascii="Times New Roman" w:hAnsi="Times New Roman" w:cs="Times New Roman"/>
          <w:i/>
          <w:iCs/>
        </w:rPr>
        <w:t xml:space="preserve"> Methodologies: Research and Indigenous Peoples</w:t>
      </w:r>
      <w:r>
        <w:rPr>
          <w:rFonts w:ascii="Times New Roman" w:hAnsi="Times New Roman" w:cs="Times New Roman"/>
        </w:rPr>
        <w:t>, London &amp; New York: Zed Books/University of Otago Press, 1999, p. 85.[confirm page #]</w:t>
      </w:r>
    </w:p>
  </w:footnote>
  <w:footnote w:id="7">
    <w:p w14:paraId="59E7D630" w14:textId="77777777" w:rsidR="004509F5" w:rsidRPr="00397393" w:rsidRDefault="004509F5" w:rsidP="004509F5">
      <w:pPr>
        <w:pStyle w:val="FootnoteText"/>
        <w:rPr>
          <w:rFonts w:ascii="Times New Roman" w:hAnsi="Times New Roman" w:cs="Times New Roman"/>
        </w:rPr>
      </w:pPr>
      <w:r w:rsidRPr="00397393">
        <w:rPr>
          <w:rStyle w:val="FootnoteReference"/>
          <w:rFonts w:ascii="Times New Roman" w:hAnsi="Times New Roman" w:cs="Times New Roman"/>
        </w:rPr>
        <w:footnoteRef/>
      </w:r>
      <w:r w:rsidRPr="00397393">
        <w:rPr>
          <w:rFonts w:ascii="Times New Roman" w:hAnsi="Times New Roman" w:cs="Times New Roman"/>
        </w:rPr>
        <w:t xml:space="preserve"> See Truth and Reconciliation Commission of Canada, “</w:t>
      </w:r>
      <w:proofErr w:type="spellStart"/>
      <w:r w:rsidRPr="00397393">
        <w:rPr>
          <w:rFonts w:ascii="Times New Roman" w:hAnsi="Times New Roman" w:cs="Times New Roman"/>
        </w:rPr>
        <w:t>Honouring</w:t>
      </w:r>
      <w:proofErr w:type="spellEnd"/>
      <w:r w:rsidRPr="00397393">
        <w:rPr>
          <w:rFonts w:ascii="Times New Roman" w:hAnsi="Times New Roman" w:cs="Times New Roman"/>
        </w:rPr>
        <w:t xml:space="preserve"> the Truth, Reconciling for the Future,” </w:t>
      </w:r>
      <w:r w:rsidRPr="00397393">
        <w:rPr>
          <w:rFonts w:ascii="Times New Roman" w:hAnsi="Times New Roman" w:cs="Times New Roman"/>
          <w:i/>
          <w:iCs/>
        </w:rPr>
        <w:t>Summary of the Final Report of the Truth and Reconciliation Commission of Canada</w:t>
      </w:r>
      <w:r w:rsidRPr="00397393">
        <w:rPr>
          <w:rFonts w:ascii="Times New Roman" w:hAnsi="Times New Roman" w:cs="Times New Roman"/>
        </w:rPr>
        <w:t>, Montr</w:t>
      </w:r>
      <w:r>
        <w:rPr>
          <w:rFonts w:ascii="Times New Roman" w:hAnsi="Times New Roman" w:cs="Times New Roman"/>
        </w:rPr>
        <w:t>é</w:t>
      </w:r>
      <w:r w:rsidRPr="00397393">
        <w:rPr>
          <w:rFonts w:ascii="Times New Roman" w:hAnsi="Times New Roman" w:cs="Times New Roman"/>
        </w:rPr>
        <w:t>al and Kingston: McGill-Queen’s University Press, 2015. There are examples of similar deliberate erasures of Indigenous knowledge and identity in colonial statist jurisdictions across the globe</w:t>
      </w:r>
      <w:r>
        <w:rPr>
          <w:rFonts w:ascii="Times New Roman" w:hAnsi="Times New Roman" w:cs="Times New Roman"/>
        </w:rPr>
        <w:t>. See for example,</w:t>
      </w:r>
      <w:r w:rsidRPr="00397393">
        <w:rPr>
          <w:rFonts w:ascii="Times New Roman" w:hAnsi="Times New Roman" w:cs="Times New Roman"/>
        </w:rPr>
        <w:t xml:space="preserve"> Anna </w:t>
      </w:r>
      <w:proofErr w:type="spellStart"/>
      <w:r w:rsidRPr="00397393">
        <w:rPr>
          <w:rFonts w:ascii="Times New Roman" w:hAnsi="Times New Roman" w:cs="Times New Roman"/>
        </w:rPr>
        <w:t>Haebich</w:t>
      </w:r>
      <w:proofErr w:type="spellEnd"/>
      <w:r w:rsidRPr="00397393">
        <w:rPr>
          <w:rFonts w:ascii="Times New Roman" w:hAnsi="Times New Roman" w:cs="Times New Roman"/>
        </w:rPr>
        <w:t xml:space="preserve">, “Forgetting Indigenous Histories: Cases from the History of Australia’s Stolen Generations,” </w:t>
      </w:r>
      <w:r w:rsidRPr="00397393">
        <w:rPr>
          <w:rFonts w:ascii="Times New Roman" w:hAnsi="Times New Roman" w:cs="Times New Roman"/>
          <w:i/>
          <w:iCs/>
        </w:rPr>
        <w:t>Journal</w:t>
      </w:r>
      <w:r w:rsidRPr="00397393">
        <w:rPr>
          <w:rFonts w:ascii="Times New Roman" w:hAnsi="Times New Roman" w:cs="Times New Roman"/>
        </w:rPr>
        <w:t xml:space="preserve"> </w:t>
      </w:r>
      <w:r w:rsidRPr="00397393">
        <w:rPr>
          <w:rFonts w:ascii="Times New Roman" w:hAnsi="Times New Roman" w:cs="Times New Roman"/>
          <w:i/>
          <w:iCs/>
        </w:rPr>
        <w:t>of Social History</w:t>
      </w:r>
      <w:r w:rsidRPr="00397393">
        <w:rPr>
          <w:rFonts w:ascii="Times New Roman" w:hAnsi="Times New Roman" w:cs="Times New Roman"/>
        </w:rPr>
        <w:t xml:space="preserve">, Vol. 44, No. 4, Summer 2011, pp, 1033-1046; Fiona Murphy, “Archives of Sorrow: An Exploration of Australia’s Stolen Generations and their Journey into the Past,” </w:t>
      </w:r>
      <w:r w:rsidRPr="00397393">
        <w:rPr>
          <w:rFonts w:ascii="Times New Roman" w:hAnsi="Times New Roman" w:cs="Times New Roman"/>
          <w:i/>
          <w:iCs/>
        </w:rPr>
        <w:t>History and Anthropology</w:t>
      </w:r>
      <w:r w:rsidRPr="00397393">
        <w:rPr>
          <w:rFonts w:ascii="Times New Roman" w:hAnsi="Times New Roman" w:cs="Times New Roman"/>
        </w:rPr>
        <w:t xml:space="preserve">, Vol. 22, Issue 4, 2011, pp. 481-495; Verne Harris, “Redefining Archives in South Africa: Public Archives and Society in Transition, 1990-1996,” in Verne Harris, </w:t>
      </w:r>
      <w:r w:rsidRPr="00397393">
        <w:rPr>
          <w:rFonts w:ascii="Times New Roman" w:hAnsi="Times New Roman" w:cs="Times New Roman"/>
          <w:i/>
          <w:iCs/>
        </w:rPr>
        <w:t>Archives and Justice: A South African Perspective</w:t>
      </w:r>
      <w:r w:rsidRPr="00397393">
        <w:rPr>
          <w:rFonts w:ascii="Times New Roman" w:hAnsi="Times New Roman" w:cs="Times New Roman"/>
        </w:rPr>
        <w:t>, Chicago: The Society of American Archivists, 2007.</w:t>
      </w:r>
    </w:p>
  </w:footnote>
  <w:footnote w:id="8">
    <w:p w14:paraId="64062C88" w14:textId="77777777" w:rsidR="00211143" w:rsidRPr="00397393" w:rsidRDefault="00211143" w:rsidP="00211143">
      <w:pPr>
        <w:pStyle w:val="FootnoteText"/>
      </w:pPr>
      <w:r w:rsidRPr="00397393">
        <w:rPr>
          <w:rStyle w:val="FootnoteReference"/>
        </w:rPr>
        <w:footnoteRef/>
      </w:r>
      <w:r w:rsidRPr="00397393">
        <w:t xml:space="preserve"> </w:t>
      </w:r>
      <w:r w:rsidRPr="00397393">
        <w:rPr>
          <w:rFonts w:ascii="Times New Roman" w:hAnsi="Times New Roman" w:cs="Times New Roman"/>
          <w:lang w:val="en-CA"/>
        </w:rPr>
        <w:t>James (</w:t>
      </w:r>
      <w:proofErr w:type="spellStart"/>
      <w:r w:rsidRPr="00397393">
        <w:rPr>
          <w:rFonts w:ascii="Times New Roman" w:hAnsi="Times New Roman" w:cs="Times New Roman"/>
          <w:lang w:val="en-CA"/>
        </w:rPr>
        <w:t>Sa’ke’j</w:t>
      </w:r>
      <w:proofErr w:type="spellEnd"/>
      <w:r w:rsidRPr="00397393">
        <w:rPr>
          <w:rFonts w:ascii="Times New Roman" w:hAnsi="Times New Roman" w:cs="Times New Roman"/>
          <w:lang w:val="en-CA"/>
        </w:rPr>
        <w:t xml:space="preserve">) Youngblood Henderson, </w:t>
      </w:r>
      <w:r w:rsidRPr="00397393">
        <w:rPr>
          <w:rFonts w:ascii="Times New Roman" w:hAnsi="Times New Roman" w:cs="Times New Roman"/>
          <w:i/>
          <w:iCs/>
          <w:lang w:val="en-CA"/>
        </w:rPr>
        <w:t xml:space="preserve">Indigenous Diplomacy and the Rights of Peoples: Achieving UN Recognition, </w:t>
      </w:r>
      <w:r w:rsidRPr="00397393">
        <w:rPr>
          <w:rFonts w:ascii="Times New Roman" w:hAnsi="Times New Roman" w:cs="Times New Roman"/>
          <w:lang w:val="en-CA"/>
        </w:rPr>
        <w:t xml:space="preserve">Saskatoon: </w:t>
      </w:r>
      <w:proofErr w:type="spellStart"/>
      <w:r w:rsidRPr="00397393">
        <w:rPr>
          <w:rFonts w:ascii="Times New Roman" w:hAnsi="Times New Roman" w:cs="Times New Roman"/>
          <w:lang w:val="en-CA"/>
        </w:rPr>
        <w:t>Purich</w:t>
      </w:r>
      <w:proofErr w:type="spellEnd"/>
      <w:r w:rsidRPr="00397393">
        <w:rPr>
          <w:rFonts w:ascii="Times New Roman" w:hAnsi="Times New Roman" w:cs="Times New Roman"/>
          <w:lang w:val="en-CA"/>
        </w:rPr>
        <w:t xml:space="preserve"> Publishing Limited, 2008, p. 15.</w:t>
      </w:r>
      <w:r w:rsidRPr="00DF16DD">
        <w:rPr>
          <w:rFonts w:ascii="Times New Roman" w:hAnsi="Times New Roman" w:cs="Times New Roman"/>
        </w:rPr>
        <w:t xml:space="preserve"> </w:t>
      </w:r>
      <w:r>
        <w:rPr>
          <w:rFonts w:ascii="Times New Roman" w:hAnsi="Times New Roman" w:cs="Times New Roman"/>
        </w:rPr>
        <w:t xml:space="preserve">Colonial studies have thoroughly examined the international history of Indigenous dispossession and its resistance. See </w:t>
      </w:r>
      <w:r w:rsidRPr="007116B9">
        <w:rPr>
          <w:rFonts w:ascii="Times New Roman" w:hAnsi="Times New Roman" w:cs="Times New Roman"/>
        </w:rPr>
        <w:t xml:space="preserve">Aimée Césaire, </w:t>
      </w:r>
      <w:r w:rsidRPr="007116B9">
        <w:rPr>
          <w:rFonts w:ascii="Times New Roman" w:hAnsi="Times New Roman" w:cs="Times New Roman"/>
          <w:i/>
          <w:iCs/>
        </w:rPr>
        <w:t>Discourse on Colonialism</w:t>
      </w:r>
      <w:r w:rsidRPr="007116B9">
        <w:rPr>
          <w:rFonts w:ascii="Times New Roman" w:hAnsi="Times New Roman" w:cs="Times New Roman"/>
        </w:rPr>
        <w:t xml:space="preserve"> (trans. </w:t>
      </w:r>
      <w:r w:rsidRPr="00397393">
        <w:rPr>
          <w:rFonts w:ascii="Times New Roman" w:hAnsi="Times New Roman" w:cs="Times New Roman"/>
          <w:lang w:val="en-CA"/>
        </w:rPr>
        <w:t>J. Pinkham), New York: Modern Reader, 1972</w:t>
      </w:r>
      <w:r>
        <w:rPr>
          <w:rFonts w:ascii="Times New Roman" w:hAnsi="Times New Roman" w:cs="Times New Roman"/>
          <w:lang w:val="en-CA"/>
        </w:rPr>
        <w:t>;</w:t>
      </w:r>
      <w:r w:rsidRPr="00397393">
        <w:rPr>
          <w:rFonts w:ascii="Times New Roman" w:hAnsi="Times New Roman" w:cs="Times New Roman"/>
          <w:lang w:val="en-CA"/>
        </w:rPr>
        <w:t xml:space="preserve"> Franz Fanon, </w:t>
      </w:r>
      <w:r w:rsidRPr="00397393">
        <w:rPr>
          <w:rFonts w:ascii="Times New Roman" w:hAnsi="Times New Roman" w:cs="Times New Roman"/>
          <w:i/>
          <w:iCs/>
          <w:lang w:val="en-CA"/>
        </w:rPr>
        <w:t>The</w:t>
      </w:r>
      <w:r w:rsidRPr="00397393">
        <w:rPr>
          <w:rFonts w:ascii="Times New Roman" w:hAnsi="Times New Roman" w:cs="Times New Roman"/>
          <w:lang w:val="en-CA"/>
        </w:rPr>
        <w:t xml:space="preserve"> </w:t>
      </w:r>
      <w:r w:rsidRPr="00397393">
        <w:rPr>
          <w:rFonts w:ascii="Times New Roman" w:hAnsi="Times New Roman" w:cs="Times New Roman"/>
          <w:i/>
          <w:iCs/>
          <w:lang w:val="en-CA"/>
        </w:rPr>
        <w:t>Wretched of the Earth</w:t>
      </w:r>
      <w:r w:rsidRPr="00397393">
        <w:rPr>
          <w:rFonts w:ascii="Times New Roman" w:hAnsi="Times New Roman" w:cs="Times New Roman"/>
          <w:lang w:val="en-CA"/>
        </w:rPr>
        <w:t xml:space="preserve"> (trans. C. Farrington), New York: Grove Press, 1963; C.L.R. James, </w:t>
      </w:r>
      <w:r w:rsidRPr="00397393">
        <w:rPr>
          <w:rFonts w:ascii="Times New Roman" w:hAnsi="Times New Roman" w:cs="Times New Roman"/>
          <w:i/>
          <w:iCs/>
          <w:lang w:val="en-CA"/>
        </w:rPr>
        <w:t xml:space="preserve">The Black Jacobins: Toussaint </w:t>
      </w:r>
      <w:proofErr w:type="spellStart"/>
      <w:r w:rsidRPr="00397393">
        <w:rPr>
          <w:rFonts w:ascii="Times New Roman" w:hAnsi="Times New Roman" w:cs="Times New Roman"/>
          <w:i/>
          <w:iCs/>
          <w:lang w:val="en-CA"/>
        </w:rPr>
        <w:t>L’Ouverture</w:t>
      </w:r>
      <w:proofErr w:type="spellEnd"/>
      <w:r w:rsidRPr="00397393">
        <w:rPr>
          <w:rFonts w:ascii="Times New Roman" w:hAnsi="Times New Roman" w:cs="Times New Roman"/>
          <w:i/>
          <w:iCs/>
          <w:lang w:val="en-CA"/>
        </w:rPr>
        <w:t xml:space="preserve"> and the San Domingo Revolution</w:t>
      </w:r>
      <w:r w:rsidRPr="00397393">
        <w:rPr>
          <w:rFonts w:ascii="Times New Roman" w:hAnsi="Times New Roman" w:cs="Times New Roman"/>
          <w:lang w:val="en-CA"/>
        </w:rPr>
        <w:t xml:space="preserve">, London: Secker &amp;Warburg, Ltd., 1938; Max Horkheimer and Theodor Adorno, </w:t>
      </w:r>
      <w:r w:rsidRPr="00397393">
        <w:rPr>
          <w:rFonts w:ascii="Times New Roman" w:hAnsi="Times New Roman" w:cs="Times New Roman"/>
          <w:i/>
          <w:iCs/>
          <w:lang w:val="en-CA"/>
        </w:rPr>
        <w:t>Dialectic of Enlightenment</w:t>
      </w:r>
      <w:r w:rsidRPr="00397393">
        <w:rPr>
          <w:rFonts w:ascii="Times New Roman" w:hAnsi="Times New Roman" w:cs="Times New Roman"/>
          <w:lang w:val="en-CA"/>
        </w:rPr>
        <w:t>, (trans. John Cumming), New York: Herder and Herder, 1972</w:t>
      </w:r>
      <w:r>
        <w:rPr>
          <w:rFonts w:ascii="Times New Roman" w:hAnsi="Times New Roman" w:cs="Times New Roman"/>
          <w:lang w:val="en-CA"/>
        </w:rPr>
        <w:t xml:space="preserve">; </w:t>
      </w:r>
      <w:r>
        <w:rPr>
          <w:rFonts w:ascii="Times New Roman" w:hAnsi="Times New Roman" w:cs="Times New Roman"/>
        </w:rPr>
        <w:t xml:space="preserve">Edward Said, </w:t>
      </w:r>
      <w:r w:rsidRPr="00E1771C">
        <w:rPr>
          <w:rFonts w:ascii="Times New Roman" w:hAnsi="Times New Roman" w:cs="Times New Roman"/>
          <w:i/>
          <w:iCs/>
        </w:rPr>
        <w:t>Culture and</w:t>
      </w:r>
      <w:r>
        <w:rPr>
          <w:rFonts w:ascii="Times New Roman" w:hAnsi="Times New Roman" w:cs="Times New Roman"/>
        </w:rPr>
        <w:t xml:space="preserve"> </w:t>
      </w:r>
      <w:r w:rsidRPr="00E1771C">
        <w:rPr>
          <w:rFonts w:ascii="Times New Roman" w:hAnsi="Times New Roman" w:cs="Times New Roman"/>
          <w:i/>
          <w:iCs/>
        </w:rPr>
        <w:t>Imperialism</w:t>
      </w:r>
      <w:r>
        <w:rPr>
          <w:rFonts w:ascii="Times New Roman" w:hAnsi="Times New Roman" w:cs="Times New Roman"/>
        </w:rPr>
        <w:t xml:space="preserve">, Cambridge: Harvard University Press, 1992; Said, </w:t>
      </w:r>
      <w:r w:rsidRPr="00583151">
        <w:rPr>
          <w:rFonts w:ascii="Times New Roman" w:hAnsi="Times New Roman" w:cs="Times New Roman"/>
          <w:i/>
          <w:iCs/>
        </w:rPr>
        <w:t>Orientalism</w:t>
      </w:r>
      <w:r>
        <w:rPr>
          <w:rFonts w:ascii="Times New Roman" w:hAnsi="Times New Roman" w:cs="Times New Roman"/>
        </w:rPr>
        <w:t>, New York: Vintage Books, 1979. For Canadian context see</w:t>
      </w:r>
      <w:r w:rsidRPr="00397393">
        <w:rPr>
          <w:rFonts w:ascii="Times New Roman" w:hAnsi="Times New Roman" w:cs="Times New Roman"/>
        </w:rPr>
        <w:t>, Cole Harris,</w:t>
      </w:r>
      <w:r w:rsidRPr="00397393">
        <w:rPr>
          <w:rFonts w:ascii="Times New Roman" w:hAnsi="Times New Roman" w:cs="Times New Roman"/>
          <w:i/>
          <w:iCs/>
        </w:rPr>
        <w:t xml:space="preserve"> Making Native Space: Colonialism, Resistance, and Reserves in British Columbia,</w:t>
      </w:r>
      <w:r w:rsidRPr="00397393">
        <w:rPr>
          <w:rFonts w:ascii="Times New Roman" w:hAnsi="Times New Roman" w:cs="Times New Roman"/>
        </w:rPr>
        <w:t xml:space="preserve"> Vancouver: UBC Press, 2002</w:t>
      </w:r>
      <w:r>
        <w:rPr>
          <w:rFonts w:ascii="Times New Roman" w:hAnsi="Times New Roman" w:cs="Times New Roman"/>
        </w:rPr>
        <w:t>;</w:t>
      </w:r>
      <w:r w:rsidRPr="00397393">
        <w:rPr>
          <w:rFonts w:ascii="Times New Roman" w:hAnsi="Times New Roman" w:cs="Times New Roman"/>
        </w:rPr>
        <w:t xml:space="preserve"> and</w:t>
      </w:r>
      <w:r>
        <w:rPr>
          <w:rFonts w:ascii="Times New Roman" w:hAnsi="Times New Roman" w:cs="Times New Roman"/>
        </w:rPr>
        <w:t xml:space="preserve"> </w:t>
      </w:r>
      <w:r w:rsidRPr="00397393">
        <w:rPr>
          <w:rFonts w:ascii="Times New Roman" w:hAnsi="Times New Roman" w:cs="Times New Roman"/>
        </w:rPr>
        <w:t xml:space="preserve">Harris, </w:t>
      </w:r>
      <w:r w:rsidRPr="00397393">
        <w:rPr>
          <w:rFonts w:ascii="Times New Roman" w:hAnsi="Times New Roman" w:cs="Times New Roman"/>
          <w:i/>
          <w:iCs/>
        </w:rPr>
        <w:t>The Reluctant Land: Society, Space, and Environment in Canada Before Confederation,</w:t>
      </w:r>
      <w:r w:rsidRPr="00397393">
        <w:rPr>
          <w:rFonts w:ascii="Times New Roman" w:hAnsi="Times New Roman" w:cs="Times New Roman"/>
        </w:rPr>
        <w:t xml:space="preserve"> Vancouver: UBC Press, 2008; James </w:t>
      </w:r>
      <w:proofErr w:type="spellStart"/>
      <w:r w:rsidRPr="00397393">
        <w:rPr>
          <w:rFonts w:ascii="Times New Roman" w:hAnsi="Times New Roman" w:cs="Times New Roman"/>
        </w:rPr>
        <w:t>Daschuk</w:t>
      </w:r>
      <w:proofErr w:type="spellEnd"/>
      <w:r w:rsidRPr="00397393">
        <w:rPr>
          <w:rFonts w:ascii="Times New Roman" w:hAnsi="Times New Roman" w:cs="Times New Roman"/>
        </w:rPr>
        <w:t xml:space="preserve">, </w:t>
      </w:r>
      <w:r w:rsidRPr="00397393">
        <w:rPr>
          <w:rFonts w:ascii="Times New Roman" w:hAnsi="Times New Roman" w:cs="Times New Roman"/>
          <w:i/>
          <w:iCs/>
        </w:rPr>
        <w:t xml:space="preserve">Clearing the Plains: Disease, Politics of Starvation, and the Loss of Aboriginal Life, </w:t>
      </w:r>
      <w:r w:rsidRPr="00397393">
        <w:rPr>
          <w:rFonts w:ascii="Times New Roman" w:hAnsi="Times New Roman" w:cs="Times New Roman"/>
        </w:rPr>
        <w:t>Regina: U</w:t>
      </w:r>
      <w:r>
        <w:rPr>
          <w:rFonts w:ascii="Times New Roman" w:hAnsi="Times New Roman" w:cs="Times New Roman"/>
        </w:rPr>
        <w:t xml:space="preserve">. </w:t>
      </w:r>
      <w:r w:rsidRPr="00397393">
        <w:rPr>
          <w:rFonts w:ascii="Times New Roman" w:hAnsi="Times New Roman" w:cs="Times New Roman"/>
        </w:rPr>
        <w:t>of</w:t>
      </w:r>
      <w:r>
        <w:rPr>
          <w:rFonts w:ascii="Times New Roman" w:hAnsi="Times New Roman" w:cs="Times New Roman"/>
        </w:rPr>
        <w:t xml:space="preserve"> </w:t>
      </w:r>
      <w:r w:rsidRPr="00397393">
        <w:rPr>
          <w:rFonts w:ascii="Times New Roman" w:hAnsi="Times New Roman" w:cs="Times New Roman"/>
        </w:rPr>
        <w:t>R</w:t>
      </w:r>
      <w:r>
        <w:rPr>
          <w:rFonts w:ascii="Times New Roman" w:hAnsi="Times New Roman" w:cs="Times New Roman"/>
        </w:rPr>
        <w:t>.</w:t>
      </w:r>
      <w:r w:rsidRPr="00397393">
        <w:rPr>
          <w:rFonts w:ascii="Times New Roman" w:hAnsi="Times New Roman" w:cs="Times New Roman"/>
        </w:rPr>
        <w:t xml:space="preserve"> Press, 2013; </w:t>
      </w:r>
      <w:r w:rsidRPr="00397393">
        <w:rPr>
          <w:rFonts w:ascii="Times New Roman" w:eastAsia="Times New Roman" w:hAnsi="Times New Roman" w:cs="Times New Roman"/>
          <w:kern w:val="0"/>
          <w:lang w:val="en-CA" w:eastAsia="en-CA"/>
          <w14:ligatures w14:val="none"/>
        </w:rPr>
        <w:t xml:space="preserve">Kent McNeil, </w:t>
      </w:r>
      <w:r w:rsidRPr="00397393">
        <w:rPr>
          <w:rFonts w:ascii="Times New Roman" w:eastAsia="Times New Roman" w:hAnsi="Times New Roman" w:cs="Times New Roman"/>
          <w:i/>
          <w:iCs/>
          <w:kern w:val="0"/>
          <w:lang w:val="en-CA" w:eastAsia="en-CA"/>
          <w14:ligatures w14:val="none"/>
        </w:rPr>
        <w:t>Flawed Precedent: The St</w:t>
      </w:r>
      <w:r w:rsidRPr="00397393">
        <w:rPr>
          <w:rFonts w:ascii="Times New Roman" w:eastAsia="Times New Roman" w:hAnsi="Times New Roman" w:cs="Times New Roman"/>
          <w:kern w:val="0"/>
          <w:lang w:val="en-CA" w:eastAsia="en-CA"/>
          <w14:ligatures w14:val="none"/>
        </w:rPr>
        <w:t xml:space="preserve">. </w:t>
      </w:r>
      <w:r w:rsidRPr="00397393">
        <w:rPr>
          <w:rFonts w:ascii="Times New Roman" w:eastAsia="Times New Roman" w:hAnsi="Times New Roman" w:cs="Times New Roman"/>
          <w:i/>
          <w:iCs/>
          <w:kern w:val="0"/>
          <w:lang w:val="en-CA" w:eastAsia="en-CA"/>
          <w14:ligatures w14:val="none"/>
        </w:rPr>
        <w:t>Catherine’s Case and Aboriginal Title,</w:t>
      </w:r>
      <w:r w:rsidRPr="00397393">
        <w:rPr>
          <w:rFonts w:ascii="Times New Roman" w:eastAsia="Times New Roman" w:hAnsi="Times New Roman" w:cs="Times New Roman"/>
          <w:kern w:val="0"/>
          <w:lang w:val="en-CA" w:eastAsia="en-CA"/>
          <w14:ligatures w14:val="none"/>
        </w:rPr>
        <w:t xml:space="preserve"> Vancouver: UBC Press, 2019; Hayden King, Shiri Pasternak, et al., </w:t>
      </w:r>
      <w:r w:rsidRPr="00397393">
        <w:rPr>
          <w:rFonts w:ascii="Times New Roman" w:eastAsia="Times New Roman" w:hAnsi="Times New Roman" w:cs="Times New Roman"/>
          <w:i/>
          <w:iCs/>
          <w:kern w:val="0"/>
          <w:lang w:val="en-CA" w:eastAsia="en-CA"/>
          <w14:ligatures w14:val="none"/>
        </w:rPr>
        <w:t>Land Back: A Yellowhead Institute Red Paper</w:t>
      </w:r>
      <w:r w:rsidRPr="00397393">
        <w:rPr>
          <w:rFonts w:ascii="Times New Roman" w:eastAsia="Times New Roman" w:hAnsi="Times New Roman" w:cs="Times New Roman"/>
          <w:kern w:val="0"/>
          <w:lang w:val="en-CA" w:eastAsia="en-CA"/>
          <w14:ligatures w14:val="none"/>
        </w:rPr>
        <w:t>, Toronto: Yellowhead Institute, 2019.</w:t>
      </w:r>
    </w:p>
  </w:footnote>
  <w:footnote w:id="9">
    <w:p w14:paraId="37CEF8CE" w14:textId="77777777" w:rsidR="004E701E" w:rsidRPr="008B389D" w:rsidRDefault="004E701E" w:rsidP="004E701E">
      <w:pPr>
        <w:pStyle w:val="FootnoteText"/>
        <w:rPr>
          <w:rFonts w:ascii="Times New Roman" w:hAnsi="Times New Roman" w:cs="Times New Roman"/>
        </w:rPr>
      </w:pPr>
      <w:r w:rsidRPr="008B389D">
        <w:rPr>
          <w:rStyle w:val="FootnoteReference"/>
          <w:rFonts w:ascii="Times New Roman" w:hAnsi="Times New Roman" w:cs="Times New Roman"/>
        </w:rPr>
        <w:footnoteRef/>
      </w:r>
      <w:r w:rsidRPr="008B389D">
        <w:rPr>
          <w:rFonts w:ascii="Times New Roman" w:hAnsi="Times New Roman" w:cs="Times New Roman"/>
        </w:rPr>
        <w:t xml:space="preserve"> </w:t>
      </w:r>
      <w:r w:rsidRPr="008B389D">
        <w:rPr>
          <w:rFonts w:ascii="Times New Roman" w:hAnsi="Times New Roman" w:cs="Times New Roman"/>
          <w:lang w:val="en-CA"/>
        </w:rPr>
        <w:t>James (</w:t>
      </w:r>
      <w:proofErr w:type="spellStart"/>
      <w:r w:rsidRPr="008B389D">
        <w:rPr>
          <w:rFonts w:ascii="Times New Roman" w:hAnsi="Times New Roman" w:cs="Times New Roman"/>
          <w:lang w:val="en-CA"/>
        </w:rPr>
        <w:t>Sa’ke’j</w:t>
      </w:r>
      <w:proofErr w:type="spellEnd"/>
      <w:r w:rsidRPr="008B389D">
        <w:rPr>
          <w:rFonts w:ascii="Times New Roman" w:hAnsi="Times New Roman" w:cs="Times New Roman"/>
          <w:lang w:val="en-CA"/>
        </w:rPr>
        <w:t xml:space="preserve">) Youngblood Henderson, “The Art of Braiding Indigenous Peoples’ Inherent Human Rights into the Law of Nation-States,” in </w:t>
      </w:r>
      <w:r w:rsidRPr="008B389D">
        <w:rPr>
          <w:rFonts w:ascii="Times New Roman" w:hAnsi="Times New Roman" w:cs="Times New Roman"/>
          <w:i/>
          <w:iCs/>
          <w:lang w:val="en-CA"/>
        </w:rPr>
        <w:t xml:space="preserve">UNDRIP Implementation: Braiding International, Domestic and Indigenous Laws, </w:t>
      </w:r>
      <w:r w:rsidRPr="008B389D">
        <w:rPr>
          <w:rFonts w:ascii="Times New Roman" w:hAnsi="Times New Roman" w:cs="Times New Roman"/>
          <w:lang w:val="en-CA"/>
        </w:rPr>
        <w:t>Waterloo: Centre for International Governance Innovation, 2017, pp. 10-15.</w:t>
      </w:r>
      <w:r>
        <w:rPr>
          <w:rFonts w:ascii="Times New Roman" w:hAnsi="Times New Roman" w:cs="Times New Roman"/>
          <w:lang w:val="en-CA"/>
        </w:rPr>
        <w:t xml:space="preserve"> See also P. G. McHugh, </w:t>
      </w:r>
      <w:r w:rsidRPr="00A83687">
        <w:rPr>
          <w:rFonts w:ascii="Times New Roman" w:hAnsi="Times New Roman" w:cs="Times New Roman"/>
          <w:i/>
          <w:iCs/>
          <w:lang w:val="en-CA"/>
        </w:rPr>
        <w:t>Aboriginal</w:t>
      </w:r>
      <w:r>
        <w:rPr>
          <w:rFonts w:ascii="Times New Roman" w:hAnsi="Times New Roman" w:cs="Times New Roman"/>
          <w:lang w:val="en-CA"/>
        </w:rPr>
        <w:t xml:space="preserve"> </w:t>
      </w:r>
      <w:r w:rsidRPr="00A83687">
        <w:rPr>
          <w:rFonts w:ascii="Times New Roman" w:hAnsi="Times New Roman" w:cs="Times New Roman"/>
          <w:i/>
          <w:iCs/>
          <w:lang w:val="en-CA"/>
        </w:rPr>
        <w:t>Societies and the Common Law</w:t>
      </w:r>
      <w:r>
        <w:rPr>
          <w:rFonts w:ascii="Times New Roman" w:hAnsi="Times New Roman" w:cs="Times New Roman"/>
          <w:lang w:val="en-CA"/>
        </w:rPr>
        <w:t>.</w:t>
      </w:r>
    </w:p>
  </w:footnote>
  <w:footnote w:id="10">
    <w:p w14:paraId="1A2BD16D" w14:textId="77777777" w:rsidR="004E701E" w:rsidRPr="009C30F9" w:rsidRDefault="004E701E" w:rsidP="004E701E">
      <w:pPr>
        <w:pStyle w:val="FootnoteText"/>
        <w:rPr>
          <w:rFonts w:ascii="Times New Roman" w:hAnsi="Times New Roman" w:cs="Times New Roman"/>
          <w:i/>
          <w:iCs/>
          <w:sz w:val="18"/>
          <w:szCs w:val="18"/>
        </w:rPr>
      </w:pPr>
      <w:r w:rsidRPr="008B389D">
        <w:rPr>
          <w:rStyle w:val="FootnoteReference"/>
          <w:rFonts w:ascii="Times New Roman" w:hAnsi="Times New Roman" w:cs="Times New Roman"/>
        </w:rPr>
        <w:footnoteRef/>
      </w:r>
      <w:r w:rsidRPr="008B389D">
        <w:rPr>
          <w:rFonts w:ascii="Times New Roman" w:hAnsi="Times New Roman" w:cs="Times New Roman"/>
        </w:rPr>
        <w:t xml:space="preserve"> </w:t>
      </w:r>
      <w:r w:rsidRPr="009C30F9">
        <w:rPr>
          <w:rFonts w:ascii="Times New Roman" w:hAnsi="Times New Roman" w:cs="Times New Roman"/>
          <w:sz w:val="18"/>
          <w:szCs w:val="18"/>
        </w:rPr>
        <w:t>For an examples of ordering and sharing non-textual Indigenous knowledge see John Borrows (</w:t>
      </w:r>
      <w:proofErr w:type="spellStart"/>
      <w:r w:rsidRPr="009C30F9">
        <w:rPr>
          <w:rFonts w:ascii="Times New Roman" w:hAnsi="Times New Roman" w:cs="Times New Roman"/>
          <w:sz w:val="18"/>
          <w:szCs w:val="18"/>
        </w:rPr>
        <w:t>Kegedonce</w:t>
      </w:r>
      <w:proofErr w:type="spellEnd"/>
      <w:r w:rsidRPr="009C30F9">
        <w:rPr>
          <w:rFonts w:ascii="Times New Roman" w:hAnsi="Times New Roman" w:cs="Times New Roman"/>
          <w:sz w:val="18"/>
          <w:szCs w:val="18"/>
        </w:rPr>
        <w:t xml:space="preserve">), </w:t>
      </w:r>
      <w:r w:rsidRPr="009C30F9">
        <w:rPr>
          <w:rFonts w:ascii="Times New Roman" w:hAnsi="Times New Roman" w:cs="Times New Roman"/>
          <w:i/>
          <w:iCs/>
          <w:sz w:val="18"/>
          <w:szCs w:val="18"/>
        </w:rPr>
        <w:t>Drawing Out Law: A Spirit’s Guide</w:t>
      </w:r>
      <w:r w:rsidRPr="009C30F9">
        <w:rPr>
          <w:rFonts w:ascii="Times New Roman" w:hAnsi="Times New Roman" w:cs="Times New Roman"/>
          <w:sz w:val="18"/>
          <w:szCs w:val="18"/>
        </w:rPr>
        <w:t>, Toronto: University of Toronto Press, 2010; Aaron Mills, “</w:t>
      </w:r>
      <w:proofErr w:type="spellStart"/>
      <w:r w:rsidRPr="009C30F9">
        <w:rPr>
          <w:rFonts w:ascii="Times New Roman" w:hAnsi="Times New Roman" w:cs="Times New Roman"/>
          <w:sz w:val="18"/>
          <w:szCs w:val="18"/>
        </w:rPr>
        <w:t>Miinigowiziwin</w:t>
      </w:r>
      <w:proofErr w:type="spellEnd"/>
      <w:r w:rsidRPr="009C30F9">
        <w:rPr>
          <w:rFonts w:ascii="Times New Roman" w:hAnsi="Times New Roman" w:cs="Times New Roman"/>
          <w:sz w:val="18"/>
          <w:szCs w:val="18"/>
        </w:rPr>
        <w:t xml:space="preserve">: All That Has Been Given for Living Well Together One Vision of Anishinaabe Constitutionalism,” </w:t>
      </w:r>
      <w:r w:rsidRPr="009C30F9">
        <w:rPr>
          <w:rFonts w:ascii="Times New Roman" w:hAnsi="Times New Roman" w:cs="Times New Roman"/>
          <w:i/>
          <w:iCs/>
          <w:sz w:val="18"/>
          <w:szCs w:val="18"/>
        </w:rPr>
        <w:t>PhD Dissertation,</w:t>
      </w:r>
      <w:r w:rsidRPr="009C30F9">
        <w:rPr>
          <w:rFonts w:ascii="Times New Roman" w:hAnsi="Times New Roman" w:cs="Times New Roman"/>
          <w:sz w:val="18"/>
          <w:szCs w:val="18"/>
        </w:rPr>
        <w:t xml:space="preserve"> University of Victoria Faculty of Law, 2019; </w:t>
      </w:r>
      <w:proofErr w:type="spellStart"/>
      <w:r w:rsidRPr="009C30F9">
        <w:rPr>
          <w:rFonts w:ascii="Times New Roman" w:hAnsi="Times New Roman" w:cs="Times New Roman"/>
          <w:sz w:val="18"/>
          <w:szCs w:val="18"/>
        </w:rPr>
        <w:t>Kekek</w:t>
      </w:r>
      <w:proofErr w:type="spellEnd"/>
      <w:r w:rsidRPr="009C30F9">
        <w:rPr>
          <w:rFonts w:ascii="Times New Roman" w:hAnsi="Times New Roman" w:cs="Times New Roman"/>
          <w:sz w:val="18"/>
          <w:szCs w:val="18"/>
        </w:rPr>
        <w:t xml:space="preserve"> Jason Stark, “Anishinaabe </w:t>
      </w:r>
      <w:proofErr w:type="spellStart"/>
      <w:r w:rsidRPr="009C30F9">
        <w:rPr>
          <w:rFonts w:ascii="Times New Roman" w:hAnsi="Times New Roman" w:cs="Times New Roman"/>
          <w:sz w:val="18"/>
          <w:szCs w:val="18"/>
        </w:rPr>
        <w:t>Inaakonigewin</w:t>
      </w:r>
      <w:proofErr w:type="spellEnd"/>
      <w:r w:rsidRPr="009C30F9">
        <w:rPr>
          <w:rFonts w:ascii="Times New Roman" w:hAnsi="Times New Roman" w:cs="Times New Roman"/>
          <w:sz w:val="18"/>
          <w:szCs w:val="18"/>
        </w:rPr>
        <w:t>: Principles for the</w:t>
      </w:r>
      <w:r w:rsidRPr="009C30F9">
        <w:rPr>
          <w:sz w:val="18"/>
          <w:szCs w:val="18"/>
        </w:rPr>
        <w:t xml:space="preserve"> </w:t>
      </w:r>
      <w:r w:rsidRPr="009C30F9">
        <w:rPr>
          <w:rFonts w:ascii="Times New Roman" w:hAnsi="Times New Roman" w:cs="Times New Roman"/>
          <w:sz w:val="18"/>
          <w:szCs w:val="18"/>
        </w:rPr>
        <w:t>Intergenerational Preservation of Mino-</w:t>
      </w:r>
      <w:proofErr w:type="spellStart"/>
      <w:r w:rsidRPr="009C30F9">
        <w:rPr>
          <w:rFonts w:ascii="Times New Roman" w:hAnsi="Times New Roman" w:cs="Times New Roman"/>
          <w:sz w:val="18"/>
          <w:szCs w:val="18"/>
        </w:rPr>
        <w:t>Bimaadiziwin</w:t>
      </w:r>
      <w:proofErr w:type="spellEnd"/>
      <w:r w:rsidRPr="009C30F9">
        <w:rPr>
          <w:rFonts w:ascii="Times New Roman" w:hAnsi="Times New Roman" w:cs="Times New Roman"/>
          <w:sz w:val="18"/>
          <w:szCs w:val="18"/>
        </w:rPr>
        <w:t xml:space="preserve">,” </w:t>
      </w:r>
      <w:r w:rsidRPr="00B35B4A">
        <w:rPr>
          <w:rFonts w:ascii="Times New Roman" w:hAnsi="Times New Roman" w:cs="Times New Roman"/>
          <w:i/>
          <w:iCs/>
          <w:sz w:val="18"/>
          <w:szCs w:val="18"/>
        </w:rPr>
        <w:t>Montana Law Review</w:t>
      </w:r>
      <w:r w:rsidRPr="009C30F9">
        <w:rPr>
          <w:rFonts w:ascii="Times New Roman" w:hAnsi="Times New Roman" w:cs="Times New Roman"/>
          <w:sz w:val="18"/>
          <w:szCs w:val="18"/>
        </w:rPr>
        <w:t xml:space="preserve">, Volume 82, Issue 2, Summer 2021, pp. 293-341;  and Darren Courchene, “Anishinaabe </w:t>
      </w:r>
      <w:proofErr w:type="spellStart"/>
      <w:r w:rsidRPr="009C30F9">
        <w:rPr>
          <w:rFonts w:ascii="Times New Roman" w:hAnsi="Times New Roman" w:cs="Times New Roman"/>
          <w:sz w:val="18"/>
          <w:szCs w:val="18"/>
        </w:rPr>
        <w:t>Dibendaagoziwin</w:t>
      </w:r>
      <w:proofErr w:type="spellEnd"/>
      <w:r w:rsidRPr="009C30F9">
        <w:rPr>
          <w:rFonts w:ascii="Times New Roman" w:hAnsi="Times New Roman" w:cs="Times New Roman"/>
          <w:sz w:val="18"/>
          <w:szCs w:val="18"/>
        </w:rPr>
        <w:t xml:space="preserve"> (Ownership) and </w:t>
      </w:r>
      <w:proofErr w:type="spellStart"/>
      <w:r w:rsidRPr="009C30F9">
        <w:rPr>
          <w:rFonts w:ascii="Times New Roman" w:hAnsi="Times New Roman" w:cs="Times New Roman"/>
          <w:sz w:val="18"/>
          <w:szCs w:val="18"/>
        </w:rPr>
        <w:t>Ganawenindiwin</w:t>
      </w:r>
      <w:proofErr w:type="spellEnd"/>
      <w:r w:rsidRPr="009C30F9">
        <w:rPr>
          <w:rFonts w:ascii="Times New Roman" w:hAnsi="Times New Roman" w:cs="Times New Roman"/>
          <w:sz w:val="18"/>
          <w:szCs w:val="18"/>
        </w:rPr>
        <w:t xml:space="preserve"> (Protection),” in </w:t>
      </w:r>
      <w:r w:rsidRPr="009C30F9">
        <w:rPr>
          <w:rStyle w:val="Emphasis"/>
          <w:rFonts w:ascii="Times New Roman" w:hAnsi="Times New Roman" w:cs="Times New Roman"/>
          <w:sz w:val="18"/>
          <w:szCs w:val="18"/>
          <w:bdr w:val="none" w:sz="0" w:space="0" w:color="auto" w:frame="1"/>
        </w:rPr>
        <w:t>Indigenous Notions of Ownership &amp; Libraries, Archives, and Museums</w:t>
      </w:r>
      <w:r w:rsidRPr="009C30F9">
        <w:rPr>
          <w:rFonts w:ascii="Times New Roman" w:hAnsi="Times New Roman" w:cs="Times New Roman"/>
          <w:sz w:val="18"/>
          <w:szCs w:val="18"/>
        </w:rPr>
        <w:t>. Camille Callison, Loriene Roy, Gretchen Alice Lecheminant (eds.), Berlin: Walter de Gruyter, 2016.</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E8CE4EB" w14:textId="77777777" w:rsidR="009F05A2" w:rsidRDefault="009F05A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769690329"/>
      <w:docPartObj>
        <w:docPartGallery w:val="Watermarks"/>
        <w:docPartUnique/>
      </w:docPartObj>
    </w:sdtPr>
    <w:sdtContent>
      <w:p w14:paraId="58E4D2BB" w14:textId="59523BC2" w:rsidR="009F05A2" w:rsidRDefault="009F05A2">
        <w:pPr>
          <w:pStyle w:val="Header"/>
        </w:pPr>
        <w:r>
          <w:rPr>
            <w:noProof/>
          </w:rPr>
          <w:pict w14:anchorId="554E370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476642" o:spid="_x0000_s1025" type="#_x0000_t136" style="position:absolute;margin-left:0;margin-top:0;width:527.85pt;height:131.95pt;rotation:315;z-index:-251657216;mso-position-horizontal:center;mso-position-horizontal-relative:margin;mso-position-vertical:center;mso-position-vertical-relative:margin" o:allowincell="f" fillcolor="silver" stroked="f">
              <v:fill opacity=".5"/>
              <v:textpath style="font-family:&quot;Calibri&quot;;font-size:1pt" string="CONFIDENTIAL"/>
              <w10:wrap anchorx="margin" anchory="margin"/>
            </v:shape>
          </w:pict>
        </w:r>
      </w:p>
    </w:sdtContent>
  </w:sdt>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829AE06" w14:textId="77777777" w:rsidR="009F05A2" w:rsidRDefault="009F05A2">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proofState w:spelling="clean" w:grammar="clean"/>
  <w:defaultTabStop w:val="720"/>
  <w:characterSpacingControl w:val="doNotCompress"/>
  <w:hdrShapeDefaults>
    <o:shapedefaults v:ext="edit" spidmax="2050"/>
    <o:shapelayout v:ext="edit">
      <o:idmap v:ext="edit" data="1"/>
    </o:shapelayout>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37000"/>
    <w:rsid w:val="000235FE"/>
    <w:rsid w:val="0004057C"/>
    <w:rsid w:val="0004639C"/>
    <w:rsid w:val="00060848"/>
    <w:rsid w:val="0007054E"/>
    <w:rsid w:val="00070D40"/>
    <w:rsid w:val="00075525"/>
    <w:rsid w:val="000866AC"/>
    <w:rsid w:val="00090405"/>
    <w:rsid w:val="000A231D"/>
    <w:rsid w:val="000A63EC"/>
    <w:rsid w:val="000B2760"/>
    <w:rsid w:val="000C4301"/>
    <w:rsid w:val="000D04D3"/>
    <w:rsid w:val="000D4E00"/>
    <w:rsid w:val="000F1918"/>
    <w:rsid w:val="00116021"/>
    <w:rsid w:val="00151554"/>
    <w:rsid w:val="0016196E"/>
    <w:rsid w:val="00172EB7"/>
    <w:rsid w:val="001835AE"/>
    <w:rsid w:val="00183B2D"/>
    <w:rsid w:val="0019050D"/>
    <w:rsid w:val="0019437C"/>
    <w:rsid w:val="001A0CD5"/>
    <w:rsid w:val="001A0CFB"/>
    <w:rsid w:val="001B5010"/>
    <w:rsid w:val="001C1DA3"/>
    <w:rsid w:val="001C29E8"/>
    <w:rsid w:val="001D19E5"/>
    <w:rsid w:val="001D50A6"/>
    <w:rsid w:val="001D5315"/>
    <w:rsid w:val="001E6EDF"/>
    <w:rsid w:val="001F6DE0"/>
    <w:rsid w:val="001F7813"/>
    <w:rsid w:val="001F7C7D"/>
    <w:rsid w:val="002023EA"/>
    <w:rsid w:val="00210A0E"/>
    <w:rsid w:val="00211143"/>
    <w:rsid w:val="00220661"/>
    <w:rsid w:val="00235D71"/>
    <w:rsid w:val="00244811"/>
    <w:rsid w:val="002519A6"/>
    <w:rsid w:val="00287CA8"/>
    <w:rsid w:val="002950D7"/>
    <w:rsid w:val="002A66A9"/>
    <w:rsid w:val="002B75F7"/>
    <w:rsid w:val="002D3B79"/>
    <w:rsid w:val="002D7490"/>
    <w:rsid w:val="002E68AB"/>
    <w:rsid w:val="00306BE8"/>
    <w:rsid w:val="00307516"/>
    <w:rsid w:val="00310AF1"/>
    <w:rsid w:val="00324135"/>
    <w:rsid w:val="00331CCC"/>
    <w:rsid w:val="0033383E"/>
    <w:rsid w:val="003349FB"/>
    <w:rsid w:val="00337DBA"/>
    <w:rsid w:val="003442F9"/>
    <w:rsid w:val="00346364"/>
    <w:rsid w:val="00360B00"/>
    <w:rsid w:val="00372FC9"/>
    <w:rsid w:val="0037656A"/>
    <w:rsid w:val="00396092"/>
    <w:rsid w:val="0039699C"/>
    <w:rsid w:val="00397B8E"/>
    <w:rsid w:val="003A019B"/>
    <w:rsid w:val="003A6241"/>
    <w:rsid w:val="003A707A"/>
    <w:rsid w:val="003B037C"/>
    <w:rsid w:val="003B1067"/>
    <w:rsid w:val="003B2A36"/>
    <w:rsid w:val="003B720E"/>
    <w:rsid w:val="003D1A04"/>
    <w:rsid w:val="003D30F5"/>
    <w:rsid w:val="00400844"/>
    <w:rsid w:val="00401E5B"/>
    <w:rsid w:val="00403A3A"/>
    <w:rsid w:val="00411480"/>
    <w:rsid w:val="004141ED"/>
    <w:rsid w:val="00414FD9"/>
    <w:rsid w:val="00414FDF"/>
    <w:rsid w:val="00423AE2"/>
    <w:rsid w:val="0043782A"/>
    <w:rsid w:val="004509F5"/>
    <w:rsid w:val="004A3106"/>
    <w:rsid w:val="004B0056"/>
    <w:rsid w:val="004B2FF0"/>
    <w:rsid w:val="004B769E"/>
    <w:rsid w:val="004C31EB"/>
    <w:rsid w:val="004D5C1D"/>
    <w:rsid w:val="004D604A"/>
    <w:rsid w:val="004D6A71"/>
    <w:rsid w:val="004E1D15"/>
    <w:rsid w:val="004E701E"/>
    <w:rsid w:val="004F5D23"/>
    <w:rsid w:val="00521F3E"/>
    <w:rsid w:val="00523F91"/>
    <w:rsid w:val="005301C2"/>
    <w:rsid w:val="005417FC"/>
    <w:rsid w:val="00551338"/>
    <w:rsid w:val="0055449F"/>
    <w:rsid w:val="00570A66"/>
    <w:rsid w:val="00570FD6"/>
    <w:rsid w:val="00577DE5"/>
    <w:rsid w:val="00582E73"/>
    <w:rsid w:val="005A6449"/>
    <w:rsid w:val="00602445"/>
    <w:rsid w:val="006103BA"/>
    <w:rsid w:val="0061406A"/>
    <w:rsid w:val="006177D4"/>
    <w:rsid w:val="006436D3"/>
    <w:rsid w:val="0065187C"/>
    <w:rsid w:val="00671DA4"/>
    <w:rsid w:val="00677D49"/>
    <w:rsid w:val="0068416B"/>
    <w:rsid w:val="00687A21"/>
    <w:rsid w:val="00695246"/>
    <w:rsid w:val="006A30DE"/>
    <w:rsid w:val="006C340E"/>
    <w:rsid w:val="006C4A4C"/>
    <w:rsid w:val="006D1594"/>
    <w:rsid w:val="006D5B2D"/>
    <w:rsid w:val="006E0DB8"/>
    <w:rsid w:val="006F0DED"/>
    <w:rsid w:val="00706541"/>
    <w:rsid w:val="007101D6"/>
    <w:rsid w:val="00725663"/>
    <w:rsid w:val="00732E81"/>
    <w:rsid w:val="00743402"/>
    <w:rsid w:val="00756619"/>
    <w:rsid w:val="00763F9E"/>
    <w:rsid w:val="007661D2"/>
    <w:rsid w:val="007678C6"/>
    <w:rsid w:val="007738AE"/>
    <w:rsid w:val="00775B8C"/>
    <w:rsid w:val="00784E86"/>
    <w:rsid w:val="00791E36"/>
    <w:rsid w:val="007A1C34"/>
    <w:rsid w:val="007B5399"/>
    <w:rsid w:val="007C2602"/>
    <w:rsid w:val="007C61EB"/>
    <w:rsid w:val="007D1019"/>
    <w:rsid w:val="007F6E61"/>
    <w:rsid w:val="0080026B"/>
    <w:rsid w:val="00803AD6"/>
    <w:rsid w:val="00820382"/>
    <w:rsid w:val="00825015"/>
    <w:rsid w:val="0082508E"/>
    <w:rsid w:val="00842E9B"/>
    <w:rsid w:val="0086089D"/>
    <w:rsid w:val="008612F0"/>
    <w:rsid w:val="00862B9B"/>
    <w:rsid w:val="008777C4"/>
    <w:rsid w:val="008816B0"/>
    <w:rsid w:val="008B1E02"/>
    <w:rsid w:val="008C4992"/>
    <w:rsid w:val="008C75C6"/>
    <w:rsid w:val="008F1F17"/>
    <w:rsid w:val="00901FBD"/>
    <w:rsid w:val="00907509"/>
    <w:rsid w:val="00922CE6"/>
    <w:rsid w:val="00931F98"/>
    <w:rsid w:val="009328B3"/>
    <w:rsid w:val="00940763"/>
    <w:rsid w:val="00944683"/>
    <w:rsid w:val="0095041A"/>
    <w:rsid w:val="00955803"/>
    <w:rsid w:val="00966D2D"/>
    <w:rsid w:val="00970C53"/>
    <w:rsid w:val="00971493"/>
    <w:rsid w:val="00982DC9"/>
    <w:rsid w:val="00985211"/>
    <w:rsid w:val="00987659"/>
    <w:rsid w:val="0099258C"/>
    <w:rsid w:val="009A29B8"/>
    <w:rsid w:val="009A7009"/>
    <w:rsid w:val="009C0BAE"/>
    <w:rsid w:val="009C6BCE"/>
    <w:rsid w:val="009C7A39"/>
    <w:rsid w:val="009E3C15"/>
    <w:rsid w:val="009F05A2"/>
    <w:rsid w:val="009F6E7B"/>
    <w:rsid w:val="00A1549A"/>
    <w:rsid w:val="00A21029"/>
    <w:rsid w:val="00A3512A"/>
    <w:rsid w:val="00A37C11"/>
    <w:rsid w:val="00A4657C"/>
    <w:rsid w:val="00A500EE"/>
    <w:rsid w:val="00A63AAD"/>
    <w:rsid w:val="00A64477"/>
    <w:rsid w:val="00A67F9E"/>
    <w:rsid w:val="00A853AB"/>
    <w:rsid w:val="00AA5688"/>
    <w:rsid w:val="00AC4928"/>
    <w:rsid w:val="00AE1E32"/>
    <w:rsid w:val="00AE3EAD"/>
    <w:rsid w:val="00B02ABC"/>
    <w:rsid w:val="00B02C33"/>
    <w:rsid w:val="00B0327E"/>
    <w:rsid w:val="00B2126C"/>
    <w:rsid w:val="00B243B5"/>
    <w:rsid w:val="00B24DFB"/>
    <w:rsid w:val="00B256EA"/>
    <w:rsid w:val="00B2608E"/>
    <w:rsid w:val="00B2728B"/>
    <w:rsid w:val="00B4229F"/>
    <w:rsid w:val="00B5512C"/>
    <w:rsid w:val="00B63715"/>
    <w:rsid w:val="00B9371A"/>
    <w:rsid w:val="00BA0C20"/>
    <w:rsid w:val="00BA7FF1"/>
    <w:rsid w:val="00BA7FF9"/>
    <w:rsid w:val="00BB71B5"/>
    <w:rsid w:val="00BC34B5"/>
    <w:rsid w:val="00BC5BDA"/>
    <w:rsid w:val="00BD4B21"/>
    <w:rsid w:val="00BD6578"/>
    <w:rsid w:val="00BE402E"/>
    <w:rsid w:val="00BE63AA"/>
    <w:rsid w:val="00BE738C"/>
    <w:rsid w:val="00BF0B32"/>
    <w:rsid w:val="00BF1515"/>
    <w:rsid w:val="00C42B75"/>
    <w:rsid w:val="00C43B03"/>
    <w:rsid w:val="00C471CA"/>
    <w:rsid w:val="00C612FD"/>
    <w:rsid w:val="00C653F5"/>
    <w:rsid w:val="00C66395"/>
    <w:rsid w:val="00C727EA"/>
    <w:rsid w:val="00C8238B"/>
    <w:rsid w:val="00C97FE5"/>
    <w:rsid w:val="00CB055D"/>
    <w:rsid w:val="00CB1C35"/>
    <w:rsid w:val="00CD2BD7"/>
    <w:rsid w:val="00CD6CF2"/>
    <w:rsid w:val="00CE0274"/>
    <w:rsid w:val="00CF2272"/>
    <w:rsid w:val="00CF760A"/>
    <w:rsid w:val="00D179AB"/>
    <w:rsid w:val="00D303C8"/>
    <w:rsid w:val="00D30BF1"/>
    <w:rsid w:val="00D41BA8"/>
    <w:rsid w:val="00D61F3F"/>
    <w:rsid w:val="00D66991"/>
    <w:rsid w:val="00D70CE2"/>
    <w:rsid w:val="00D715AD"/>
    <w:rsid w:val="00D73F19"/>
    <w:rsid w:val="00D74E7A"/>
    <w:rsid w:val="00D75BDB"/>
    <w:rsid w:val="00D7645F"/>
    <w:rsid w:val="00D76E37"/>
    <w:rsid w:val="00D90446"/>
    <w:rsid w:val="00D90E7B"/>
    <w:rsid w:val="00DA1DAF"/>
    <w:rsid w:val="00DB4DC4"/>
    <w:rsid w:val="00DB54A9"/>
    <w:rsid w:val="00DB76A3"/>
    <w:rsid w:val="00DB7B61"/>
    <w:rsid w:val="00DE419A"/>
    <w:rsid w:val="00DE4D4F"/>
    <w:rsid w:val="00DF156C"/>
    <w:rsid w:val="00E032E4"/>
    <w:rsid w:val="00E22728"/>
    <w:rsid w:val="00E2581E"/>
    <w:rsid w:val="00E25D29"/>
    <w:rsid w:val="00E37000"/>
    <w:rsid w:val="00E43EB9"/>
    <w:rsid w:val="00E53406"/>
    <w:rsid w:val="00E56F27"/>
    <w:rsid w:val="00E61BB4"/>
    <w:rsid w:val="00E80670"/>
    <w:rsid w:val="00E811B2"/>
    <w:rsid w:val="00E904E9"/>
    <w:rsid w:val="00EA4F43"/>
    <w:rsid w:val="00EA585F"/>
    <w:rsid w:val="00EB7B88"/>
    <w:rsid w:val="00ED7A01"/>
    <w:rsid w:val="00EE071E"/>
    <w:rsid w:val="00EF0455"/>
    <w:rsid w:val="00EF65B6"/>
    <w:rsid w:val="00EF76DA"/>
    <w:rsid w:val="00F07542"/>
    <w:rsid w:val="00F1546F"/>
    <w:rsid w:val="00F15FF1"/>
    <w:rsid w:val="00F20E85"/>
    <w:rsid w:val="00F21530"/>
    <w:rsid w:val="00F21656"/>
    <w:rsid w:val="00F31BA9"/>
    <w:rsid w:val="00F330D7"/>
    <w:rsid w:val="00F44D28"/>
    <w:rsid w:val="00F50093"/>
    <w:rsid w:val="00F5312D"/>
    <w:rsid w:val="00F60398"/>
    <w:rsid w:val="00F616D8"/>
    <w:rsid w:val="00F620E7"/>
    <w:rsid w:val="00F77807"/>
    <w:rsid w:val="00F77B4A"/>
    <w:rsid w:val="00F77F11"/>
    <w:rsid w:val="00F82B40"/>
    <w:rsid w:val="00F87454"/>
    <w:rsid w:val="00F90832"/>
    <w:rsid w:val="00F972CB"/>
    <w:rsid w:val="00FF0B37"/>
    <w:rsid w:val="00FF14EF"/>
    <w:rsid w:val="00FF34E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23F6325"/>
  <w15:chartTrackingRefBased/>
  <w15:docId w15:val="{06745AAF-A8DF-43B9-86DE-2A8B80B267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7B5399"/>
    <w:pPr>
      <w:spacing w:after="0" w:line="240" w:lineRule="auto"/>
    </w:pPr>
    <w:rPr>
      <w:sz w:val="20"/>
      <w:szCs w:val="20"/>
    </w:rPr>
  </w:style>
  <w:style w:type="character" w:customStyle="1" w:styleId="FootnoteTextChar">
    <w:name w:val="Footnote Text Char"/>
    <w:basedOn w:val="DefaultParagraphFont"/>
    <w:link w:val="FootnoteText"/>
    <w:uiPriority w:val="99"/>
    <w:rsid w:val="007B5399"/>
    <w:rPr>
      <w:sz w:val="20"/>
      <w:szCs w:val="20"/>
    </w:rPr>
  </w:style>
  <w:style w:type="character" w:styleId="FootnoteReference">
    <w:name w:val="footnote reference"/>
    <w:basedOn w:val="DefaultParagraphFont"/>
    <w:uiPriority w:val="99"/>
    <w:unhideWhenUsed/>
    <w:rsid w:val="007B5399"/>
    <w:rPr>
      <w:vertAlign w:val="superscript"/>
    </w:rPr>
  </w:style>
  <w:style w:type="character" w:styleId="Hyperlink">
    <w:name w:val="Hyperlink"/>
    <w:basedOn w:val="DefaultParagraphFont"/>
    <w:uiPriority w:val="99"/>
    <w:unhideWhenUsed/>
    <w:rsid w:val="007B5399"/>
    <w:rPr>
      <w:color w:val="0563C1" w:themeColor="hyperlink"/>
      <w:u w:val="single"/>
    </w:rPr>
  </w:style>
  <w:style w:type="paragraph" w:customStyle="1" w:styleId="Default">
    <w:name w:val="Default"/>
    <w:rsid w:val="007B5399"/>
    <w:pPr>
      <w:autoSpaceDE w:val="0"/>
      <w:autoSpaceDN w:val="0"/>
      <w:adjustRightInd w:val="0"/>
      <w:spacing w:after="0" w:line="240" w:lineRule="auto"/>
    </w:pPr>
    <w:rPr>
      <w:rFonts w:ascii="Arial" w:hAnsi="Arial" w:cs="Arial"/>
      <w:color w:val="000000"/>
      <w:kern w:val="0"/>
      <w:sz w:val="24"/>
      <w:szCs w:val="24"/>
    </w:rPr>
  </w:style>
  <w:style w:type="character" w:styleId="Emphasis">
    <w:name w:val="Emphasis"/>
    <w:basedOn w:val="DefaultParagraphFont"/>
    <w:uiPriority w:val="20"/>
    <w:qFormat/>
    <w:rsid w:val="004E701E"/>
    <w:rPr>
      <w:i/>
      <w:iCs/>
    </w:rPr>
  </w:style>
  <w:style w:type="paragraph" w:styleId="Header">
    <w:name w:val="header"/>
    <w:basedOn w:val="Normal"/>
    <w:link w:val="HeaderChar"/>
    <w:uiPriority w:val="99"/>
    <w:unhideWhenUsed/>
    <w:rsid w:val="004141ED"/>
    <w:pPr>
      <w:tabs>
        <w:tab w:val="center" w:pos="4680"/>
        <w:tab w:val="right" w:pos="9360"/>
      </w:tabs>
      <w:spacing w:after="0" w:line="240" w:lineRule="auto"/>
    </w:pPr>
  </w:style>
  <w:style w:type="character" w:customStyle="1" w:styleId="HeaderChar">
    <w:name w:val="Header Char"/>
    <w:basedOn w:val="DefaultParagraphFont"/>
    <w:link w:val="Header"/>
    <w:uiPriority w:val="99"/>
    <w:rsid w:val="004141ED"/>
  </w:style>
  <w:style w:type="paragraph" w:styleId="Footer">
    <w:name w:val="footer"/>
    <w:basedOn w:val="Normal"/>
    <w:link w:val="FooterChar"/>
    <w:uiPriority w:val="99"/>
    <w:unhideWhenUsed/>
    <w:rsid w:val="004141ED"/>
    <w:pPr>
      <w:tabs>
        <w:tab w:val="center" w:pos="4680"/>
        <w:tab w:val="right" w:pos="9360"/>
      </w:tabs>
      <w:spacing w:after="0" w:line="240" w:lineRule="auto"/>
    </w:pPr>
  </w:style>
  <w:style w:type="character" w:customStyle="1" w:styleId="FooterChar">
    <w:name w:val="Footer Char"/>
    <w:basedOn w:val="DefaultParagraphFont"/>
    <w:link w:val="Footer"/>
    <w:uiPriority w:val="99"/>
    <w:rsid w:val="004141ED"/>
  </w:style>
  <w:style w:type="paragraph" w:styleId="ListParagraph">
    <w:name w:val="List Paragraph"/>
    <w:basedOn w:val="Normal"/>
    <w:uiPriority w:val="34"/>
    <w:qFormat/>
    <w:rsid w:val="00372FC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26461975">
      <w:bodyDiv w:val="1"/>
      <w:marLeft w:val="0"/>
      <w:marRight w:val="0"/>
      <w:marTop w:val="0"/>
      <w:marBottom w:val="0"/>
      <w:divBdr>
        <w:top w:val="none" w:sz="0" w:space="0" w:color="auto"/>
        <w:left w:val="none" w:sz="0" w:space="0" w:color="auto"/>
        <w:bottom w:val="none" w:sz="0" w:space="0" w:color="auto"/>
        <w:right w:val="none" w:sz="0" w:space="0" w:color="auto"/>
      </w:divBdr>
    </w:div>
    <w:div w:id="17808352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footnotes.xml.rels><?xml version="1.0" encoding="UTF-8" standalone="yes"?>
<Relationships xmlns="http://schemas.openxmlformats.org/package/2006/relationships"><Relationship Id="rId2" Type="http://schemas.openxmlformats.org/officeDocument/2006/relationships/hyperlink" Target="http://dx.doi.org/10.17159/1727-3781/2019/v22i0a7588" TargetMode="External"/><Relationship Id="rId1" Type="http://schemas.openxmlformats.org/officeDocument/2006/relationships/hyperlink" Target="https://nctr.c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30</TotalTime>
  <Pages>14</Pages>
  <Words>3165</Words>
  <Characters>18042</Characters>
  <Application>Microsoft Office Word</Application>
  <DocSecurity>0</DocSecurity>
  <Lines>150</Lines>
  <Paragraphs>42</Paragraphs>
  <ScaleCrop>false</ScaleCrop>
  <HeadingPairs>
    <vt:vector size="2" baseType="variant">
      <vt:variant>
        <vt:lpstr>Title</vt:lpstr>
      </vt:variant>
      <vt:variant>
        <vt:i4>1</vt:i4>
      </vt:variant>
    </vt:vector>
  </HeadingPairs>
  <TitlesOfParts>
    <vt:vector size="1" baseType="lpstr">
      <vt:lpstr/>
    </vt:vector>
  </TitlesOfParts>
  <Company>University of Manitoba</Company>
  <LinksUpToDate>false</LinksUpToDate>
  <CharactersWithSpaces>21165</CharactersWithSpaces>
  <SharedDoc>false</SharedDoc>
  <HLinks>
    <vt:vector size="12" baseType="variant">
      <vt:variant>
        <vt:i4>4653072</vt:i4>
      </vt:variant>
      <vt:variant>
        <vt:i4>3</vt:i4>
      </vt:variant>
      <vt:variant>
        <vt:i4>0</vt:i4>
      </vt:variant>
      <vt:variant>
        <vt:i4>5</vt:i4>
      </vt:variant>
      <vt:variant>
        <vt:lpwstr>http://dx.doi.org/10.17159/1727-3781/2019/v22i0a7588</vt:lpwstr>
      </vt:variant>
      <vt:variant>
        <vt:lpwstr/>
      </vt:variant>
      <vt:variant>
        <vt:i4>4980757</vt:i4>
      </vt:variant>
      <vt:variant>
        <vt:i4>0</vt:i4>
      </vt:variant>
      <vt:variant>
        <vt:i4>0</vt:i4>
      </vt:variant>
      <vt:variant>
        <vt:i4>5</vt:i4>
      </vt:variant>
      <vt:variant>
        <vt:lpwstr>https://nctr.ca/</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Raymond Frogner</dc:creator>
  <cp:keywords/>
  <dc:description/>
  <cp:lastModifiedBy>Raymond Frogner</cp:lastModifiedBy>
  <cp:revision>19</cp:revision>
  <dcterms:created xsi:type="dcterms:W3CDTF">2024-04-25T02:48:00Z</dcterms:created>
  <dcterms:modified xsi:type="dcterms:W3CDTF">2024-07-05T21:32:00Z</dcterms:modified>
</cp:coreProperties>
</file>